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08" w:lineRule="atLeast"/>
        <w:jc w:val="center"/>
        <w:outlineLvl w:val="2"/>
        <w:rPr>
          <w:rFonts w:ascii="微软雅黑" w:hAnsi="微软雅黑" w:eastAsia="微软雅黑" w:cs="宋体"/>
          <w:b/>
          <w:bCs/>
          <w:color w:val="636363"/>
          <w:kern w:val="0"/>
          <w:sz w:val="34"/>
          <w:szCs w:val="34"/>
        </w:rPr>
      </w:pPr>
      <w:r>
        <w:rPr>
          <w:rFonts w:hint="eastAsia" w:ascii="微软雅黑" w:hAnsi="微软雅黑" w:eastAsia="微软雅黑" w:cs="宋体"/>
          <w:b/>
          <w:bCs/>
          <w:color w:val="636363"/>
          <w:kern w:val="0"/>
          <w:sz w:val="34"/>
          <w:szCs w:val="34"/>
        </w:rPr>
        <w:t>浙江省岱山县第一人民医院医保DRG医院智慧运营管理服务项目招标公告</w:t>
      </w:r>
    </w:p>
    <w:p>
      <w:pPr>
        <w:pStyle w:val="37"/>
        <w:widowControl/>
        <w:numPr>
          <w:ilvl w:val="0"/>
          <w:numId w:val="1"/>
        </w:numPr>
        <w:spacing w:line="288" w:lineRule="atLeast"/>
        <w:ind w:firstLineChars="0"/>
        <w:jc w:val="center"/>
        <w:rPr>
          <w:rFonts w:ascii="宋体" w:hAnsi="宋体" w:eastAsia="宋体" w:cs="宋体"/>
          <w:color w:val="555555"/>
          <w:kern w:val="0"/>
        </w:rPr>
      </w:pPr>
      <w:r>
        <w:rPr>
          <w:rFonts w:hint="eastAsia" w:ascii="宋体" w:hAnsi="宋体"/>
          <w:b/>
          <w:sz w:val="30"/>
          <w:szCs w:val="30"/>
        </w:rPr>
        <w:t>公开招标采购公告</w:t>
      </w:r>
    </w:p>
    <w:p>
      <w:pPr>
        <w:widowControl/>
        <w:spacing w:line="288" w:lineRule="atLeast"/>
        <w:ind w:firstLine="420"/>
        <w:jc w:val="left"/>
        <w:rPr>
          <w:rFonts w:ascii="微软雅黑" w:hAnsi="微软雅黑" w:eastAsia="微软雅黑" w:cs="宋体"/>
          <w:color w:val="555555"/>
          <w:kern w:val="0"/>
          <w:sz w:val="19"/>
          <w:szCs w:val="19"/>
        </w:rPr>
      </w:pPr>
      <w:r>
        <w:rPr>
          <w:rFonts w:hint="eastAsia" w:ascii="宋体" w:hAnsi="宋体" w:eastAsia="宋体" w:cs="宋体"/>
          <w:color w:val="555555"/>
          <w:kern w:val="0"/>
        </w:rPr>
        <w:t>根据岱山医疗健康集团岱山医疗健康集团《物资与服务招议标采购管理制度》,就浙江省岱山县第一人民医院医保DRG医院智慧运营管理服务项目自</w:t>
      </w:r>
      <w:r>
        <w:rPr>
          <w:rFonts w:hint="eastAsia" w:ascii="宋体" w:hAnsi="宋体" w:eastAsia="宋体" w:cs="宋体"/>
          <w:color w:val="555555"/>
          <w:kern w:val="0"/>
          <w:szCs w:val="21"/>
        </w:rPr>
        <w:t>主采购</w:t>
      </w:r>
      <w:r>
        <w:rPr>
          <w:rFonts w:hint="eastAsia" w:ascii="宋体" w:hAnsi="宋体" w:eastAsia="宋体" w:cs="宋体"/>
          <w:color w:val="555555"/>
          <w:kern w:val="0"/>
        </w:rPr>
        <w:t>进行公开，现邀请合格供应商参加。</w:t>
      </w:r>
    </w:p>
    <w:p>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b/>
          <w:bCs/>
          <w:color w:val="555555"/>
          <w:kern w:val="0"/>
        </w:rPr>
        <w:t>一、项目名称：浙江省岱山县第一人民医院医保DRG医院智慧运营管理服务项目招标公告</w:t>
      </w:r>
    </w:p>
    <w:p>
      <w:pPr>
        <w:widowControl/>
        <w:spacing w:line="288" w:lineRule="atLeast"/>
        <w:jc w:val="left"/>
        <w:rPr>
          <w:rFonts w:ascii="微软雅黑" w:hAnsi="微软雅黑" w:eastAsia="微软雅黑" w:cs="宋体"/>
          <w:kern w:val="0"/>
          <w:sz w:val="19"/>
          <w:szCs w:val="19"/>
        </w:rPr>
      </w:pPr>
      <w:r>
        <w:rPr>
          <w:rFonts w:hint="eastAsia" w:ascii="宋体" w:hAnsi="宋体" w:eastAsia="宋体" w:cs="宋体"/>
          <w:b/>
          <w:bCs/>
          <w:color w:val="555555"/>
          <w:kern w:val="0"/>
        </w:rPr>
        <w:t>二、项目编号</w:t>
      </w:r>
      <w:r>
        <w:rPr>
          <w:rFonts w:hint="eastAsia" w:ascii="宋体" w:hAnsi="宋体" w:eastAsia="宋体" w:cs="宋体"/>
          <w:b/>
          <w:bCs/>
          <w:kern w:val="0"/>
        </w:rPr>
        <w:t>：</w:t>
      </w:r>
      <w:r>
        <w:rPr>
          <w:rFonts w:hint="eastAsia" w:ascii="宋体" w:hAnsi="宋体" w:cs="宋体"/>
          <w:b/>
          <w:bCs/>
          <w:sz w:val="28"/>
          <w:u w:val="single"/>
        </w:rPr>
        <w:t>DSYLCG-202</w:t>
      </w:r>
      <w:r>
        <w:rPr>
          <w:rFonts w:hint="eastAsia" w:ascii="宋体" w:hAnsi="宋体" w:cs="宋体"/>
          <w:b/>
          <w:bCs/>
          <w:sz w:val="28"/>
          <w:u w:val="single"/>
          <w:lang w:val="en-US" w:eastAsia="zh-CN"/>
        </w:rPr>
        <w:t>5</w:t>
      </w:r>
      <w:r>
        <w:rPr>
          <w:rFonts w:hint="eastAsia" w:ascii="宋体" w:hAnsi="宋体" w:cs="宋体"/>
          <w:b/>
          <w:bCs/>
          <w:sz w:val="28"/>
          <w:u w:val="single"/>
        </w:rPr>
        <w:t>-00</w:t>
      </w:r>
      <w:r>
        <w:rPr>
          <w:rFonts w:hint="eastAsia" w:ascii="宋体" w:hAnsi="宋体" w:cs="宋体"/>
          <w:b/>
          <w:bCs/>
          <w:sz w:val="28"/>
          <w:u w:val="single"/>
          <w:lang w:val="en-US" w:eastAsia="zh-CN"/>
        </w:rPr>
        <w:t>3</w:t>
      </w:r>
    </w:p>
    <w:p>
      <w:pPr>
        <w:widowControl/>
        <w:spacing w:line="288" w:lineRule="atLeast"/>
        <w:jc w:val="left"/>
        <w:rPr>
          <w:rFonts w:ascii="微软雅黑" w:hAnsi="微软雅黑" w:eastAsia="微软雅黑" w:cs="宋体"/>
          <w:kern w:val="0"/>
          <w:sz w:val="19"/>
          <w:szCs w:val="19"/>
        </w:rPr>
      </w:pPr>
      <w:r>
        <w:rPr>
          <w:rFonts w:hint="eastAsia" w:ascii="宋体" w:hAnsi="宋体" w:eastAsia="宋体" w:cs="宋体"/>
          <w:b/>
          <w:bCs/>
          <w:kern w:val="0"/>
        </w:rPr>
        <w:t>三、采购方式：</w:t>
      </w:r>
      <w:r>
        <w:rPr>
          <w:rFonts w:hint="eastAsia" w:ascii="宋体" w:hAnsi="宋体" w:eastAsia="宋体" w:cs="宋体"/>
          <w:kern w:val="0"/>
        </w:rPr>
        <w:t>自主采购（公开招标）</w:t>
      </w:r>
    </w:p>
    <w:p>
      <w:pPr>
        <w:spacing w:line="360" w:lineRule="auto"/>
        <w:jc w:val="left"/>
        <w:rPr>
          <w:rFonts w:hint="eastAsia" w:ascii="宋体" w:hAnsi="宋体" w:cs="宋体"/>
          <w:color w:val="000000"/>
          <w:sz w:val="24"/>
        </w:rPr>
      </w:pPr>
      <w:r>
        <w:rPr>
          <w:rFonts w:hint="eastAsia" w:ascii="宋体" w:hAnsi="宋体" w:eastAsia="宋体" w:cs="宋体"/>
          <w:b/>
          <w:bCs/>
          <w:color w:val="555555"/>
          <w:kern w:val="0"/>
        </w:rPr>
        <w:t>四、</w:t>
      </w:r>
      <w:r>
        <w:rPr>
          <w:rFonts w:hint="eastAsia" w:ascii="宋体" w:hAnsi="宋体" w:cs="宋体"/>
          <w:color w:val="000000"/>
          <w:sz w:val="24"/>
        </w:rPr>
        <w:t>采购内容及服务期限</w:t>
      </w:r>
    </w:p>
    <w:tbl>
      <w:tblPr>
        <w:tblStyle w:val="16"/>
        <w:tblW w:w="7792"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108" w:type="dxa"/>
          <w:bottom w:w="0" w:type="dxa"/>
          <w:right w:w="108" w:type="dxa"/>
        </w:tblCellMar>
      </w:tblPr>
      <w:tblGrid>
        <w:gridCol w:w="1192"/>
        <w:gridCol w:w="1927"/>
        <w:gridCol w:w="1649"/>
        <w:gridCol w:w="1560"/>
        <w:gridCol w:w="1464"/>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690" w:hRule="atLeast"/>
          <w:jc w:val="center"/>
        </w:trPr>
        <w:tc>
          <w:tcPr>
            <w:tcW w:w="1192" w:type="dxa"/>
            <w:tcBorders>
              <w:bottom w:val="single" w:color="000000" w:sz="4" w:space="0"/>
            </w:tcBorders>
            <w:vAlign w:val="center"/>
          </w:tcPr>
          <w:p>
            <w:pPr>
              <w:snapToGrid w:val="0"/>
              <w:spacing w:line="360" w:lineRule="auto"/>
              <w:jc w:val="center"/>
              <w:rPr>
                <w:rFonts w:hint="eastAsia" w:ascii="宋体" w:hAnsi="宋体" w:cs="宋体"/>
                <w:szCs w:val="21"/>
              </w:rPr>
            </w:pPr>
            <w:r>
              <w:rPr>
                <w:rFonts w:hint="eastAsia" w:ascii="宋体" w:hAnsi="宋体" w:cs="宋体"/>
                <w:szCs w:val="21"/>
              </w:rPr>
              <w:t>序号</w:t>
            </w:r>
          </w:p>
        </w:tc>
        <w:tc>
          <w:tcPr>
            <w:tcW w:w="1927" w:type="dxa"/>
            <w:tcBorders>
              <w:left w:val="single" w:color="000000" w:sz="4" w:space="0"/>
              <w:bottom w:val="single" w:color="000000" w:sz="4" w:space="0"/>
            </w:tcBorders>
            <w:vAlign w:val="center"/>
          </w:tcPr>
          <w:p>
            <w:pPr>
              <w:snapToGrid w:val="0"/>
              <w:spacing w:line="360" w:lineRule="auto"/>
              <w:jc w:val="center"/>
              <w:rPr>
                <w:rFonts w:hint="eastAsia" w:ascii="宋体" w:hAnsi="宋体" w:cs="宋体"/>
                <w:szCs w:val="21"/>
              </w:rPr>
            </w:pPr>
            <w:r>
              <w:rPr>
                <w:rFonts w:hint="eastAsia" w:ascii="宋体" w:hAnsi="宋体" w:cs="宋体"/>
                <w:szCs w:val="21"/>
              </w:rPr>
              <w:t>标项内容</w:t>
            </w:r>
          </w:p>
        </w:tc>
        <w:tc>
          <w:tcPr>
            <w:tcW w:w="1649" w:type="dxa"/>
            <w:tcBorders>
              <w:left w:val="single" w:color="000000" w:sz="4" w:space="0"/>
              <w:bottom w:val="single" w:color="000000" w:sz="4" w:space="0"/>
            </w:tcBorders>
            <w:vAlign w:val="center"/>
          </w:tcPr>
          <w:p>
            <w:pPr>
              <w:snapToGrid w:val="0"/>
              <w:spacing w:line="360" w:lineRule="auto"/>
              <w:jc w:val="center"/>
              <w:rPr>
                <w:rFonts w:hint="default" w:ascii="宋体" w:hAnsi="宋体" w:cs="宋体" w:eastAsiaTheme="minorEastAsia"/>
                <w:szCs w:val="21"/>
                <w:lang w:val="en-US" w:eastAsia="zh-CN"/>
              </w:rPr>
            </w:pPr>
            <w:r>
              <w:rPr>
                <w:rFonts w:hint="eastAsia" w:ascii="宋体" w:hAnsi="宋体" w:cs="宋体"/>
                <w:szCs w:val="21"/>
                <w:lang w:val="en-US" w:eastAsia="zh-CN"/>
              </w:rPr>
              <w:t>服务周期</w:t>
            </w:r>
          </w:p>
        </w:tc>
        <w:tc>
          <w:tcPr>
            <w:tcW w:w="1560" w:type="dxa"/>
            <w:tcBorders>
              <w:left w:val="single" w:color="000000" w:sz="4" w:space="0"/>
              <w:bottom w:val="single" w:color="000000" w:sz="4" w:space="0"/>
            </w:tcBorders>
            <w:vAlign w:val="center"/>
          </w:tcPr>
          <w:p>
            <w:pPr>
              <w:snapToGrid w:val="0"/>
              <w:spacing w:line="360" w:lineRule="auto"/>
              <w:jc w:val="center"/>
              <w:rPr>
                <w:rFonts w:hint="eastAsia" w:ascii="宋体" w:hAnsi="宋体" w:cs="宋体"/>
                <w:szCs w:val="21"/>
              </w:rPr>
            </w:pPr>
            <w:r>
              <w:rPr>
                <w:rFonts w:hint="eastAsia" w:ascii="宋体" w:hAnsi="宋体" w:cs="宋体"/>
                <w:szCs w:val="21"/>
              </w:rPr>
              <w:t>预算金额</w:t>
            </w:r>
          </w:p>
          <w:p>
            <w:pPr>
              <w:snapToGrid w:val="0"/>
              <w:spacing w:line="360" w:lineRule="auto"/>
              <w:jc w:val="center"/>
              <w:rPr>
                <w:rFonts w:hint="eastAsia" w:ascii="宋体" w:hAnsi="宋体" w:cs="宋体"/>
                <w:szCs w:val="21"/>
              </w:rPr>
            </w:pPr>
            <w:r>
              <w:rPr>
                <w:rFonts w:hint="eastAsia" w:ascii="宋体" w:hAnsi="宋体" w:cs="宋体"/>
                <w:szCs w:val="21"/>
              </w:rPr>
              <w:t>（万元）</w:t>
            </w:r>
          </w:p>
        </w:tc>
        <w:tc>
          <w:tcPr>
            <w:tcW w:w="1464" w:type="dxa"/>
            <w:tcBorders>
              <w:left w:val="single" w:color="000000" w:sz="4" w:space="0"/>
              <w:bottom w:val="single" w:color="000000" w:sz="4" w:space="0"/>
            </w:tcBorders>
            <w:vAlign w:val="center"/>
          </w:tcPr>
          <w:p>
            <w:pPr>
              <w:snapToGrid w:val="0"/>
              <w:spacing w:line="360" w:lineRule="auto"/>
              <w:jc w:val="center"/>
              <w:rPr>
                <w:rFonts w:hint="eastAsia" w:ascii="宋体" w:hAnsi="宋体" w:cs="宋体"/>
                <w:szCs w:val="21"/>
              </w:rPr>
            </w:pPr>
            <w:r>
              <w:rPr>
                <w:rFonts w:hint="eastAsia" w:ascii="宋体" w:hAnsi="宋体" w:cs="宋体"/>
                <w:szCs w:val="21"/>
              </w:rPr>
              <w:t>主要技术规格</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690" w:hRule="atLeast"/>
          <w:jc w:val="center"/>
        </w:trPr>
        <w:tc>
          <w:tcPr>
            <w:tcW w:w="1192" w:type="dxa"/>
            <w:tcBorders>
              <w:top w:val="single" w:color="000000" w:sz="4" w:space="0"/>
              <w:bottom w:val="single" w:color="000000" w:sz="4" w:space="0"/>
            </w:tcBorders>
            <w:vAlign w:val="center"/>
          </w:tcPr>
          <w:p>
            <w:pPr>
              <w:snapToGrid w:val="0"/>
              <w:spacing w:line="360" w:lineRule="auto"/>
              <w:jc w:val="center"/>
              <w:rPr>
                <w:rFonts w:hint="eastAsia" w:ascii="宋体" w:hAnsi="宋体" w:cs="宋体"/>
                <w:szCs w:val="21"/>
              </w:rPr>
            </w:pPr>
            <w:r>
              <w:rPr>
                <w:rFonts w:hint="eastAsia" w:ascii="宋体" w:hAnsi="宋体" w:cs="宋体"/>
                <w:szCs w:val="21"/>
              </w:rPr>
              <w:t>1</w:t>
            </w:r>
          </w:p>
        </w:tc>
        <w:tc>
          <w:tcPr>
            <w:tcW w:w="1927" w:type="dxa"/>
            <w:tcBorders>
              <w:top w:val="single" w:color="000000" w:sz="4" w:space="0"/>
              <w:left w:val="single" w:color="000000" w:sz="4" w:space="0"/>
              <w:bottom w:val="single" w:color="000000" w:sz="4" w:space="0"/>
            </w:tcBorders>
            <w:vAlign w:val="center"/>
          </w:tcPr>
          <w:p>
            <w:pPr>
              <w:snapToGrid w:val="0"/>
              <w:spacing w:line="360" w:lineRule="auto"/>
              <w:jc w:val="center"/>
              <w:rPr>
                <w:rFonts w:hint="default" w:ascii="宋体" w:hAnsi="宋体" w:cs="宋体"/>
                <w:szCs w:val="21"/>
                <w:lang w:val="en-US" w:eastAsia="zh-CN"/>
              </w:rPr>
            </w:pPr>
            <w:r>
              <w:rPr>
                <w:rFonts w:hint="default" w:ascii="宋体" w:hAnsi="宋体" w:cs="宋体"/>
                <w:szCs w:val="21"/>
                <w:lang w:val="en-US" w:eastAsia="zh-CN"/>
              </w:rPr>
              <w:t>医保DRG医院智慧运营管理服务</w:t>
            </w:r>
          </w:p>
        </w:tc>
        <w:tc>
          <w:tcPr>
            <w:tcW w:w="1649" w:type="dxa"/>
            <w:tcBorders>
              <w:top w:val="single" w:color="000000" w:sz="4" w:space="0"/>
              <w:left w:val="single" w:color="000000" w:sz="4" w:space="0"/>
              <w:bottom w:val="single" w:color="000000" w:sz="4" w:space="0"/>
            </w:tcBorders>
            <w:vAlign w:val="center"/>
          </w:tcPr>
          <w:p>
            <w:pPr>
              <w:snapToGrid w:val="0"/>
              <w:spacing w:line="360" w:lineRule="auto"/>
              <w:jc w:val="center"/>
              <w:rPr>
                <w:rFonts w:hint="default" w:ascii="宋体" w:hAnsi="宋体" w:cs="宋体" w:eastAsiaTheme="minorEastAsia"/>
                <w:szCs w:val="21"/>
                <w:lang w:val="en-US" w:eastAsia="zh-CN"/>
              </w:rPr>
            </w:pPr>
            <w:r>
              <w:rPr>
                <w:rFonts w:hint="eastAsia" w:ascii="宋体" w:hAnsi="宋体" w:cs="宋体"/>
                <w:szCs w:val="21"/>
              </w:rPr>
              <w:t>从合同签订日起算</w:t>
            </w:r>
            <w:r>
              <w:rPr>
                <w:rFonts w:hint="eastAsia" w:ascii="宋体" w:hAnsi="宋体" w:cs="宋体"/>
                <w:szCs w:val="21"/>
                <w:lang w:val="en-US" w:eastAsia="zh-CN"/>
              </w:rPr>
              <w:t>2</w:t>
            </w:r>
            <w:r>
              <w:rPr>
                <w:rFonts w:hint="eastAsia" w:ascii="宋体" w:hAnsi="宋体" w:cs="宋体"/>
                <w:szCs w:val="21"/>
              </w:rPr>
              <w:t>年</w:t>
            </w:r>
          </w:p>
        </w:tc>
        <w:tc>
          <w:tcPr>
            <w:tcW w:w="1560" w:type="dxa"/>
            <w:tcBorders>
              <w:top w:val="single" w:color="000000" w:sz="4" w:space="0"/>
              <w:left w:val="single" w:color="000000" w:sz="4" w:space="0"/>
              <w:bottom w:val="single" w:color="000000" w:sz="4" w:space="0"/>
            </w:tcBorders>
            <w:vAlign w:val="center"/>
          </w:tcPr>
          <w:p>
            <w:pPr>
              <w:snapToGrid w:val="0"/>
              <w:spacing w:line="360" w:lineRule="auto"/>
              <w:jc w:val="center"/>
              <w:rPr>
                <w:rFonts w:hint="eastAsia" w:ascii="宋体" w:hAnsi="宋体" w:cs="宋体"/>
                <w:szCs w:val="21"/>
                <w:lang w:eastAsia="zh-CN"/>
              </w:rPr>
            </w:pPr>
            <w:r>
              <w:rPr>
                <w:rFonts w:hint="eastAsia" w:ascii="宋体" w:hAnsi="宋体" w:cs="宋体"/>
                <w:szCs w:val="21"/>
                <w:lang w:val="en-US" w:eastAsia="zh-CN"/>
              </w:rPr>
              <w:t>19.9</w:t>
            </w:r>
            <w:r>
              <w:rPr>
                <w:rFonts w:hint="eastAsia" w:ascii="宋体" w:hAnsi="宋体" w:cs="宋体"/>
                <w:szCs w:val="21"/>
                <w:lang w:eastAsia="zh-CN"/>
              </w:rPr>
              <w:t>万元</w:t>
            </w:r>
          </w:p>
        </w:tc>
        <w:tc>
          <w:tcPr>
            <w:tcW w:w="1464" w:type="dxa"/>
            <w:tcBorders>
              <w:top w:val="single" w:color="000000" w:sz="4" w:space="0"/>
              <w:left w:val="single" w:color="000000" w:sz="4" w:space="0"/>
              <w:bottom w:val="single" w:color="000000" w:sz="4" w:space="0"/>
            </w:tcBorders>
            <w:vAlign w:val="center"/>
          </w:tcPr>
          <w:p>
            <w:pPr>
              <w:snapToGrid w:val="0"/>
              <w:spacing w:line="360" w:lineRule="auto"/>
              <w:jc w:val="center"/>
              <w:rPr>
                <w:rFonts w:hint="eastAsia" w:ascii="宋体" w:hAnsi="宋体" w:cs="宋体"/>
                <w:szCs w:val="21"/>
              </w:rPr>
            </w:pPr>
            <w:r>
              <w:rPr>
                <w:rFonts w:hint="eastAsia" w:ascii="宋体" w:hAnsi="宋体" w:cs="宋体"/>
                <w:szCs w:val="21"/>
              </w:rPr>
              <w:t>详见服务需求</w:t>
            </w:r>
          </w:p>
        </w:tc>
      </w:tr>
    </w:tbl>
    <w:p>
      <w:pPr>
        <w:spacing w:line="360" w:lineRule="auto"/>
        <w:jc w:val="left"/>
        <w:rPr>
          <w:rFonts w:hint="eastAsia" w:ascii="宋体" w:hAnsi="宋体" w:cs="宋体"/>
          <w:color w:val="000000"/>
          <w:sz w:val="24"/>
        </w:rPr>
      </w:pPr>
    </w:p>
    <w:p>
      <w:pPr>
        <w:spacing w:line="360" w:lineRule="auto"/>
        <w:ind w:firstLine="420" w:firstLineChars="200"/>
        <w:jc w:val="left"/>
        <w:rPr>
          <w:rFonts w:hint="eastAsia" w:ascii="宋体" w:hAnsi="宋体" w:eastAsia="宋体" w:cs="宋体"/>
          <w:sz w:val="20"/>
          <w:szCs w:val="20"/>
          <w:lang w:val="en-US" w:eastAsia="zh-CN"/>
        </w:rPr>
      </w:pPr>
      <w:bookmarkStart w:id="0" w:name="OLE_LINK27"/>
      <w:bookmarkStart w:id="1" w:name="OLE_LINK28"/>
      <w:r>
        <w:rPr>
          <w:rFonts w:hint="default" w:ascii="宋体" w:hAnsi="宋体" w:cs="宋体"/>
          <w:szCs w:val="21"/>
          <w:lang w:val="en-US" w:eastAsia="zh-CN"/>
        </w:rPr>
        <w:t>医保DRG医院智慧运营管理服务</w:t>
      </w:r>
      <w:bookmarkEnd w:id="0"/>
      <w:bookmarkEnd w:id="1"/>
      <w:r>
        <w:rPr>
          <w:rFonts w:hint="eastAsia" w:ascii="宋体" w:hAnsi="宋体" w:eastAsia="宋体" w:cs="宋体"/>
          <w:sz w:val="20"/>
          <w:szCs w:val="20"/>
          <w:lang w:val="en-US" w:eastAsia="zh-CN"/>
        </w:rPr>
        <w:t>包含：医生助手、事中监测分析、DRG 驾驶舱、科室综合分析、病组综合分析、医疗组综合分析及其他专题分析结算导入管理等功能模块。当医生选择病组时可以根据大数据提供实时分组预测，在入错组时进行及时调优分组，对于可能导致 DRG 结算超支的收费项目会出现风险预警，通过大数据为医生的医疗行为提供参考</w:t>
      </w:r>
    </w:p>
    <w:p>
      <w:pPr>
        <w:pStyle w:val="14"/>
        <w:spacing w:before="255" w:beforeAutospacing="0" w:after="255" w:afterAutospacing="0" w:line="480" w:lineRule="atLeast"/>
        <w:jc w:val="both"/>
        <w:rPr>
          <w:rFonts w:ascii="Arial" w:hAnsi="Arial" w:cs="Arial"/>
          <w:color w:val="000000"/>
          <w:sz w:val="22"/>
          <w:szCs w:val="22"/>
        </w:rPr>
      </w:pPr>
      <w:r>
        <w:rPr>
          <w:rStyle w:val="18"/>
          <w:rFonts w:hint="eastAsia" w:ascii="Arial" w:hAnsi="Arial" w:cs="Arial"/>
          <w:color w:val="000000"/>
          <w:sz w:val="22"/>
          <w:szCs w:val="22"/>
          <w:lang w:eastAsia="zh-CN"/>
        </w:rPr>
        <w:t>五、</w:t>
      </w:r>
      <w:r>
        <w:rPr>
          <w:rStyle w:val="18"/>
          <w:rFonts w:ascii="Arial" w:hAnsi="Arial" w:cs="Arial"/>
          <w:color w:val="000000"/>
          <w:sz w:val="22"/>
          <w:szCs w:val="22"/>
        </w:rPr>
        <w:t>申请人的资格要求：</w:t>
      </w:r>
    </w:p>
    <w:p>
      <w:pPr>
        <w:pStyle w:val="14"/>
        <w:spacing w:before="75" w:beforeAutospacing="0" w:after="75" w:afterAutospacing="0"/>
        <w:ind w:firstLine="220" w:firstLineChars="100"/>
        <w:rPr>
          <w:rFonts w:ascii="Arial" w:hAnsi="Arial" w:cs="Arial"/>
          <w:color w:val="000000"/>
          <w:sz w:val="22"/>
          <w:szCs w:val="22"/>
        </w:rPr>
      </w:pPr>
      <w:r>
        <w:rPr>
          <w:rFonts w:ascii="Arial" w:hAnsi="Arial" w:cs="Arial"/>
          <w:color w:val="000000"/>
          <w:sz w:val="22"/>
          <w:szCs w:val="22"/>
        </w:rPr>
        <w:t>1.满足《中华人民共和国政府采购法》第二十二条规定；未被“信用中国”（www.creditchina.gov.cn)、中国政府采购网（www.ccgp.gov.cn）列入失信被执行人、</w:t>
      </w:r>
      <w:r>
        <w:rPr>
          <w:rFonts w:hint="eastAsia" w:ascii="Arial" w:hAnsi="Arial" w:cs="Arial"/>
          <w:color w:val="000000"/>
          <w:sz w:val="22"/>
          <w:szCs w:val="22"/>
        </w:rPr>
        <w:t>重大税收违法失信主体、政府采购严重违法失信行为记录名单。</w:t>
      </w:r>
    </w:p>
    <w:p>
      <w:pPr>
        <w:pStyle w:val="14"/>
        <w:spacing w:before="75" w:beforeAutospacing="0" w:after="75" w:afterAutospacing="0"/>
        <w:rPr>
          <w:rFonts w:hint="eastAsia" w:ascii="Arial" w:hAnsi="Arial" w:cs="Arial"/>
          <w:color w:val="000000"/>
          <w:sz w:val="22"/>
          <w:szCs w:val="22"/>
        </w:rPr>
      </w:pPr>
      <w:r>
        <w:rPr>
          <w:rFonts w:hint="eastAsia" w:ascii="Arial" w:hAnsi="Arial" w:cs="Arial"/>
          <w:color w:val="000000"/>
          <w:sz w:val="22"/>
          <w:szCs w:val="22"/>
        </w:rPr>
        <w:t>    2.落实政府采购政策需满足的资格要求：标项1：本项目为专门面向中小企业采购的项目，供应商应为中小微企业（监狱企业及残疾人福利性单位视同小型、微型企业）。</w:t>
      </w:r>
    </w:p>
    <w:p>
      <w:pPr>
        <w:pStyle w:val="14"/>
        <w:spacing w:before="75" w:beforeAutospacing="0" w:after="75" w:afterAutospacing="0"/>
        <w:rPr>
          <w:rFonts w:hint="eastAsia" w:ascii="宋体" w:hAnsi="宋体" w:cs="宋体" w:eastAsiaTheme="minorEastAsia"/>
          <w:sz w:val="24"/>
          <w:szCs w:val="21"/>
          <w:lang w:eastAsia="zh-CN"/>
        </w:rPr>
      </w:pPr>
      <w:r>
        <w:rPr>
          <w:rFonts w:hint="eastAsia" w:ascii="Arial" w:hAnsi="Arial" w:cs="Arial"/>
          <w:color w:val="000000"/>
          <w:sz w:val="22"/>
          <w:szCs w:val="22"/>
        </w:rPr>
        <w:t>    3.本项目的特定资格要求：</w:t>
      </w:r>
      <w:r>
        <w:rPr>
          <w:rFonts w:hint="eastAsia" w:ascii="Arial" w:hAnsi="Arial" w:cs="Arial"/>
          <w:color w:val="000000"/>
          <w:sz w:val="22"/>
          <w:szCs w:val="22"/>
          <w:lang w:eastAsia="zh-CN"/>
        </w:rPr>
        <w:t>无</w:t>
      </w:r>
    </w:p>
    <w:p>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b/>
          <w:bCs/>
          <w:color w:val="555555"/>
          <w:kern w:val="0"/>
          <w:lang w:eastAsia="zh-CN"/>
        </w:rPr>
        <w:t>六</w:t>
      </w:r>
      <w:r>
        <w:rPr>
          <w:rFonts w:hint="eastAsia" w:ascii="宋体" w:hAnsi="宋体" w:eastAsia="宋体" w:cs="宋体"/>
          <w:b/>
          <w:bCs/>
          <w:color w:val="555555"/>
          <w:kern w:val="0"/>
        </w:rPr>
        <w:t>、投标报名截止时间</w:t>
      </w:r>
      <w:r>
        <w:rPr>
          <w:rFonts w:hint="eastAsia" w:ascii="宋体" w:hAnsi="宋体" w:eastAsia="宋体" w:cs="宋体"/>
          <w:color w:val="555555"/>
          <w:kern w:val="0"/>
          <w:szCs w:val="21"/>
        </w:rPr>
        <w:t>（北京时间）：</w:t>
      </w:r>
      <w:r>
        <w:rPr>
          <w:rFonts w:hint="eastAsia" w:ascii="宋体" w:hAnsi="宋体" w:eastAsia="宋体" w:cs="宋体"/>
          <w:color w:val="FF0000"/>
          <w:kern w:val="0"/>
          <w:szCs w:val="21"/>
        </w:rPr>
        <w:t>202</w:t>
      </w:r>
      <w:r>
        <w:rPr>
          <w:rFonts w:hint="eastAsia" w:ascii="宋体" w:hAnsi="宋体" w:eastAsia="宋体" w:cs="宋体"/>
          <w:color w:val="FF0000"/>
          <w:kern w:val="0"/>
          <w:szCs w:val="21"/>
          <w:lang w:val="en-US" w:eastAsia="zh-CN"/>
        </w:rPr>
        <w:t>5</w:t>
      </w:r>
      <w:r>
        <w:rPr>
          <w:rFonts w:hint="eastAsia" w:ascii="宋体" w:hAnsi="宋体" w:eastAsia="宋体" w:cs="宋体"/>
          <w:color w:val="FF0000"/>
          <w:kern w:val="0"/>
          <w:szCs w:val="21"/>
        </w:rPr>
        <w:t>年</w:t>
      </w:r>
      <w:r>
        <w:rPr>
          <w:rFonts w:hint="eastAsia" w:ascii="宋体" w:hAnsi="宋体" w:eastAsia="宋体" w:cs="宋体"/>
          <w:color w:val="FF0000"/>
          <w:kern w:val="0"/>
          <w:szCs w:val="21"/>
          <w:lang w:val="en-US" w:eastAsia="zh-CN"/>
        </w:rPr>
        <w:t>3</w:t>
      </w:r>
      <w:r>
        <w:rPr>
          <w:rFonts w:hint="eastAsia" w:ascii="宋体" w:hAnsi="宋体" w:eastAsia="宋体" w:cs="宋体"/>
          <w:color w:val="FF0000"/>
          <w:kern w:val="0"/>
          <w:szCs w:val="21"/>
        </w:rPr>
        <w:t>月1</w:t>
      </w:r>
      <w:r>
        <w:rPr>
          <w:rFonts w:hint="eastAsia" w:ascii="宋体" w:hAnsi="宋体" w:eastAsia="宋体" w:cs="宋体"/>
          <w:color w:val="FF0000"/>
          <w:kern w:val="0"/>
          <w:szCs w:val="21"/>
          <w:lang w:val="en-US" w:eastAsia="zh-CN"/>
        </w:rPr>
        <w:t>7</w:t>
      </w:r>
      <w:r>
        <w:rPr>
          <w:rFonts w:hint="eastAsia" w:ascii="宋体" w:hAnsi="宋体" w:eastAsia="宋体" w:cs="宋体"/>
          <w:color w:val="FF0000"/>
          <w:kern w:val="0"/>
          <w:szCs w:val="21"/>
        </w:rPr>
        <w:t>日至2024年</w:t>
      </w:r>
      <w:r>
        <w:rPr>
          <w:rFonts w:hint="eastAsia" w:ascii="宋体" w:hAnsi="宋体" w:eastAsia="宋体" w:cs="宋体"/>
          <w:color w:val="FF0000"/>
          <w:kern w:val="0"/>
          <w:szCs w:val="21"/>
          <w:lang w:val="en-US" w:eastAsia="zh-CN"/>
        </w:rPr>
        <w:t>3</w:t>
      </w:r>
      <w:r>
        <w:rPr>
          <w:rFonts w:hint="eastAsia" w:ascii="宋体" w:hAnsi="宋体" w:eastAsia="宋体" w:cs="宋体"/>
          <w:color w:val="FF0000"/>
          <w:kern w:val="0"/>
          <w:szCs w:val="21"/>
        </w:rPr>
        <w:t>月</w:t>
      </w:r>
      <w:r>
        <w:rPr>
          <w:rFonts w:hint="eastAsia" w:ascii="宋体" w:hAnsi="宋体" w:eastAsia="宋体" w:cs="宋体"/>
          <w:color w:val="FF0000"/>
          <w:kern w:val="0"/>
          <w:szCs w:val="21"/>
          <w:lang w:val="en-US" w:eastAsia="zh-CN"/>
        </w:rPr>
        <w:t>21</w:t>
      </w:r>
      <w:r>
        <w:rPr>
          <w:rFonts w:hint="eastAsia" w:ascii="宋体" w:hAnsi="宋体" w:eastAsia="宋体" w:cs="宋体"/>
          <w:color w:val="FF0000"/>
          <w:kern w:val="0"/>
          <w:szCs w:val="21"/>
        </w:rPr>
        <w:t>日17时0</w:t>
      </w:r>
      <w:r>
        <w:rPr>
          <w:rFonts w:hint="eastAsia" w:ascii="宋体" w:hAnsi="宋体" w:eastAsia="宋体" w:cs="宋体"/>
          <w:color w:val="555555"/>
          <w:kern w:val="0"/>
          <w:szCs w:val="21"/>
        </w:rPr>
        <w:t>0分止。</w:t>
      </w:r>
      <w:r>
        <w:rPr>
          <w:rFonts w:hint="eastAsia" w:ascii="宋体" w:hAnsi="宋体" w:eastAsia="宋体" w:cs="宋体"/>
          <w:b/>
          <w:bCs/>
          <w:color w:val="555555"/>
          <w:kern w:val="0"/>
        </w:rPr>
        <w:t>报名方式:</w:t>
      </w:r>
      <w:r>
        <w:rPr>
          <w:rFonts w:hint="eastAsia" w:ascii="宋体" w:hAnsi="宋体" w:eastAsia="宋体" w:cs="宋体"/>
          <w:color w:val="555555"/>
          <w:kern w:val="0"/>
          <w:szCs w:val="21"/>
        </w:rPr>
        <w:t>网上报名；报名内容：参加项目名称+投标公司名称+代表姓名和联系电话+法定代表人授权书、授权人身份证复印件、被授权人身份证复印件（议标时准备身份证原件）、营业执照复印件，以上报名资料均需加盖投标人鲜章，报名内容以PDF或word</w:t>
      </w:r>
      <w:r>
        <w:fldChar w:fldCharType="begin"/>
      </w:r>
      <w:r>
        <w:instrText xml:space="preserve"> HYPERLINK "mailto:%E5%8F%91%E8%87%B3%E9%82%AE%E7%AE%B1ZYCG149@163.com" </w:instrText>
      </w:r>
      <w:r>
        <w:fldChar w:fldCharType="separate"/>
      </w:r>
      <w:r>
        <w:rPr>
          <w:rFonts w:hint="eastAsia" w:ascii="宋体" w:hAnsi="宋体" w:eastAsia="宋体" w:cs="宋体"/>
          <w:color w:val="0000FF"/>
          <w:kern w:val="0"/>
          <w:u w:val="single"/>
        </w:rPr>
        <w:t>发至邮箱</w:t>
      </w:r>
      <w:r>
        <w:rPr>
          <w:rFonts w:hAnsi="宋体" w:cs="宋体"/>
        </w:rPr>
        <w:t>dsjkjt_cgzx</w:t>
      </w:r>
      <w:r>
        <w:rPr>
          <w:rFonts w:hAnsi="宋体" w:cs="宋体"/>
          <w:i/>
        </w:rPr>
        <w:t>@163.com</w:t>
      </w:r>
      <w:r>
        <w:rPr>
          <w:rFonts w:hAnsi="宋体" w:cs="宋体"/>
          <w:i/>
        </w:rPr>
        <w:fldChar w:fldCharType="end"/>
      </w:r>
      <w:r>
        <w:rPr>
          <w:rFonts w:hint="eastAsia" w:ascii="宋体" w:hAnsi="宋体" w:eastAsia="宋体" w:cs="宋体"/>
          <w:color w:val="555555"/>
          <w:kern w:val="0"/>
          <w:szCs w:val="21"/>
        </w:rPr>
        <w:t>，并电话确认。</w:t>
      </w:r>
    </w:p>
    <w:p>
      <w:pPr>
        <w:widowControl/>
        <w:spacing w:line="288" w:lineRule="atLeast"/>
        <w:ind w:firstLine="422"/>
        <w:jc w:val="left"/>
        <w:rPr>
          <w:rFonts w:ascii="微软雅黑" w:hAnsi="微软雅黑" w:eastAsia="微软雅黑" w:cs="宋体"/>
          <w:color w:val="555555"/>
          <w:kern w:val="0"/>
          <w:sz w:val="19"/>
          <w:szCs w:val="19"/>
        </w:rPr>
      </w:pPr>
      <w:r>
        <w:rPr>
          <w:rFonts w:hint="eastAsia" w:ascii="宋体" w:hAnsi="宋体" w:eastAsia="宋体" w:cs="宋体"/>
          <w:b/>
          <w:bCs/>
          <w:color w:val="555555"/>
          <w:kern w:val="0"/>
        </w:rPr>
        <w:t>报名确认电话</w:t>
      </w:r>
      <w:r>
        <w:rPr>
          <w:rFonts w:hint="eastAsia" w:ascii="宋体" w:hAnsi="宋体" w:eastAsia="宋体" w:cs="宋体"/>
          <w:color w:val="555555"/>
          <w:kern w:val="0"/>
          <w:szCs w:val="21"/>
        </w:rPr>
        <w:t>：0580—7339026        联系人：应先生</w:t>
      </w:r>
    </w:p>
    <w:p>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b/>
          <w:bCs/>
          <w:color w:val="555555"/>
          <w:kern w:val="0"/>
          <w:lang w:eastAsia="zh-CN"/>
        </w:rPr>
        <w:t>七</w:t>
      </w:r>
      <w:r>
        <w:rPr>
          <w:rFonts w:hint="eastAsia" w:ascii="宋体" w:hAnsi="宋体" w:eastAsia="宋体" w:cs="宋体"/>
          <w:b/>
          <w:bCs/>
          <w:color w:val="555555"/>
          <w:kern w:val="0"/>
        </w:rPr>
        <w:t>、投标文件截止提交时间</w:t>
      </w:r>
      <w:r>
        <w:rPr>
          <w:rFonts w:hint="eastAsia" w:ascii="宋体" w:hAnsi="宋体" w:eastAsia="宋体" w:cs="宋体"/>
          <w:color w:val="555555"/>
          <w:kern w:val="0"/>
          <w:szCs w:val="21"/>
        </w:rPr>
        <w:t>（北京时间）</w:t>
      </w:r>
      <w:r>
        <w:rPr>
          <w:rFonts w:hint="eastAsia" w:ascii="宋体" w:hAnsi="宋体" w:eastAsia="宋体" w:cs="宋体"/>
          <w:b/>
          <w:bCs/>
          <w:color w:val="555555"/>
          <w:kern w:val="0"/>
        </w:rPr>
        <w:t>：</w:t>
      </w:r>
      <w:r>
        <w:rPr>
          <w:rFonts w:hint="eastAsia" w:ascii="宋体" w:hAnsi="宋体" w:eastAsia="宋体" w:cs="宋体"/>
          <w:color w:val="FF0000"/>
          <w:kern w:val="0"/>
          <w:szCs w:val="21"/>
        </w:rPr>
        <w:t>投标人于202</w:t>
      </w:r>
      <w:r>
        <w:rPr>
          <w:rFonts w:hint="eastAsia" w:ascii="宋体" w:hAnsi="宋体" w:eastAsia="宋体" w:cs="宋体"/>
          <w:color w:val="FF0000"/>
          <w:kern w:val="0"/>
          <w:szCs w:val="21"/>
          <w:lang w:val="en-US" w:eastAsia="zh-CN"/>
        </w:rPr>
        <w:t>5</w:t>
      </w:r>
      <w:r>
        <w:rPr>
          <w:rFonts w:hint="eastAsia" w:ascii="宋体" w:hAnsi="宋体" w:eastAsia="宋体" w:cs="宋体"/>
          <w:color w:val="FF0000"/>
          <w:kern w:val="0"/>
          <w:szCs w:val="21"/>
        </w:rPr>
        <w:t>年</w:t>
      </w:r>
      <w:r>
        <w:rPr>
          <w:rFonts w:hint="eastAsia" w:ascii="宋体" w:hAnsi="宋体" w:eastAsia="宋体" w:cs="宋体"/>
          <w:color w:val="FF0000"/>
          <w:kern w:val="0"/>
          <w:szCs w:val="21"/>
          <w:lang w:val="en-US" w:eastAsia="zh-CN"/>
        </w:rPr>
        <w:t>3</w:t>
      </w:r>
      <w:r>
        <w:rPr>
          <w:rFonts w:hint="eastAsia" w:ascii="宋体" w:hAnsi="宋体" w:eastAsia="宋体" w:cs="宋体"/>
          <w:color w:val="FF0000"/>
          <w:kern w:val="0"/>
          <w:szCs w:val="21"/>
        </w:rPr>
        <w:t>月</w:t>
      </w:r>
      <w:r>
        <w:rPr>
          <w:rFonts w:hint="eastAsia" w:ascii="宋体" w:hAnsi="宋体" w:eastAsia="宋体" w:cs="宋体"/>
          <w:color w:val="FF0000"/>
          <w:kern w:val="0"/>
          <w:szCs w:val="21"/>
          <w:lang w:val="en-US" w:eastAsia="zh-CN"/>
        </w:rPr>
        <w:t>28</w:t>
      </w:r>
      <w:r>
        <w:rPr>
          <w:rFonts w:hint="eastAsia" w:ascii="宋体" w:hAnsi="宋体" w:eastAsia="宋体" w:cs="宋体"/>
          <w:color w:val="FF0000"/>
          <w:kern w:val="0"/>
          <w:szCs w:val="21"/>
        </w:rPr>
        <w:t>日下午2时00分至2时30分，将加</w:t>
      </w:r>
      <w:r>
        <w:rPr>
          <w:rFonts w:hint="eastAsia" w:ascii="宋体" w:hAnsi="宋体" w:eastAsia="宋体" w:cs="宋体"/>
          <w:color w:val="555555"/>
          <w:kern w:val="0"/>
          <w:szCs w:val="21"/>
        </w:rPr>
        <w:t>盖投标人鲜章的纸质版议标文件一正二副和</w:t>
      </w:r>
      <w:r>
        <w:rPr>
          <w:rFonts w:hint="eastAsia" w:ascii="宋体" w:hAnsi="宋体" w:eastAsia="宋体" w:cs="宋体"/>
          <w:b/>
          <w:bCs/>
          <w:color w:val="555555"/>
          <w:kern w:val="0"/>
        </w:rPr>
        <w:t>报价表一份（报价表须单独包装密封）</w:t>
      </w:r>
      <w:r>
        <w:rPr>
          <w:rFonts w:hint="eastAsia" w:ascii="宋体" w:hAnsi="宋体" w:eastAsia="宋体" w:cs="宋体"/>
          <w:color w:val="555555"/>
          <w:kern w:val="0"/>
          <w:szCs w:val="21"/>
        </w:rPr>
        <w:t>；提交到浙江省岱山县第一人民医院医技楼</w:t>
      </w:r>
      <w:r>
        <w:rPr>
          <w:rFonts w:hint="eastAsia" w:ascii="宋体" w:hAnsi="宋体" w:eastAsia="宋体" w:cs="宋体"/>
          <w:color w:val="555555"/>
          <w:kern w:val="0"/>
          <w:szCs w:val="21"/>
          <w:lang w:val="en-US" w:eastAsia="zh-CN"/>
        </w:rPr>
        <w:t>6</w:t>
      </w:r>
      <w:r>
        <w:rPr>
          <w:rFonts w:hint="eastAsia" w:ascii="宋体" w:hAnsi="宋体" w:eastAsia="宋体" w:cs="宋体"/>
          <w:color w:val="555555"/>
          <w:kern w:val="0"/>
          <w:szCs w:val="21"/>
        </w:rPr>
        <w:t>楼会议室，地址：浙江省岱山县高亭镇康健路88号。</w:t>
      </w:r>
      <w:bookmarkStart w:id="26" w:name="_GoBack"/>
      <w:bookmarkEnd w:id="26"/>
    </w:p>
    <w:p>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b/>
          <w:bCs/>
          <w:color w:val="555555"/>
          <w:kern w:val="0"/>
          <w:lang w:eastAsia="zh-CN"/>
        </w:rPr>
        <w:t>八</w:t>
      </w:r>
      <w:r>
        <w:rPr>
          <w:rFonts w:hint="eastAsia" w:ascii="宋体" w:hAnsi="宋体" w:eastAsia="宋体" w:cs="宋体"/>
          <w:b/>
          <w:bCs/>
          <w:color w:val="FF0000"/>
          <w:kern w:val="0"/>
        </w:rPr>
        <w:t>、开标时间：</w:t>
      </w:r>
      <w:r>
        <w:rPr>
          <w:rFonts w:hint="eastAsia" w:ascii="宋体" w:hAnsi="宋体" w:eastAsia="宋体" w:cs="宋体"/>
          <w:color w:val="FF0000"/>
          <w:kern w:val="0"/>
          <w:szCs w:val="21"/>
        </w:rPr>
        <w:t>202</w:t>
      </w:r>
      <w:r>
        <w:rPr>
          <w:rFonts w:hint="eastAsia" w:ascii="宋体" w:hAnsi="宋体" w:eastAsia="宋体" w:cs="宋体"/>
          <w:color w:val="FF0000"/>
          <w:kern w:val="0"/>
          <w:szCs w:val="21"/>
          <w:lang w:val="en-US" w:eastAsia="zh-CN"/>
        </w:rPr>
        <w:t>5</w:t>
      </w:r>
      <w:r>
        <w:rPr>
          <w:rFonts w:hint="eastAsia" w:ascii="宋体" w:hAnsi="宋体" w:eastAsia="宋体" w:cs="宋体"/>
          <w:color w:val="FF0000"/>
          <w:kern w:val="0"/>
          <w:szCs w:val="21"/>
        </w:rPr>
        <w:t>年</w:t>
      </w:r>
      <w:r>
        <w:rPr>
          <w:rFonts w:hint="eastAsia" w:ascii="宋体" w:hAnsi="宋体" w:eastAsia="宋体" w:cs="宋体"/>
          <w:color w:val="FF0000"/>
          <w:kern w:val="0"/>
          <w:szCs w:val="21"/>
          <w:lang w:val="en-US" w:eastAsia="zh-CN"/>
        </w:rPr>
        <w:t>3</w:t>
      </w:r>
      <w:r>
        <w:rPr>
          <w:rFonts w:hint="eastAsia" w:ascii="宋体" w:hAnsi="宋体" w:eastAsia="宋体" w:cs="宋体"/>
          <w:color w:val="FF0000"/>
          <w:kern w:val="0"/>
          <w:szCs w:val="21"/>
        </w:rPr>
        <w:t>月</w:t>
      </w:r>
      <w:r>
        <w:rPr>
          <w:rFonts w:hint="eastAsia" w:ascii="宋体" w:hAnsi="宋体" w:eastAsia="宋体" w:cs="宋体"/>
          <w:color w:val="FF0000"/>
          <w:kern w:val="0"/>
          <w:szCs w:val="21"/>
          <w:lang w:val="en-US" w:eastAsia="zh-CN"/>
        </w:rPr>
        <w:t>28</w:t>
      </w:r>
      <w:r>
        <w:rPr>
          <w:rFonts w:hint="eastAsia" w:ascii="宋体" w:hAnsi="宋体" w:eastAsia="宋体" w:cs="宋体"/>
          <w:color w:val="FF0000"/>
          <w:kern w:val="0"/>
          <w:szCs w:val="21"/>
        </w:rPr>
        <w:t>日下午2时30分（北京时间）</w:t>
      </w:r>
    </w:p>
    <w:p>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b/>
          <w:bCs/>
          <w:color w:val="555555"/>
          <w:kern w:val="0"/>
          <w:lang w:eastAsia="zh-CN"/>
        </w:rPr>
        <w:t>九</w:t>
      </w:r>
      <w:r>
        <w:rPr>
          <w:rFonts w:hint="eastAsia" w:ascii="宋体" w:hAnsi="宋体" w:eastAsia="宋体" w:cs="宋体"/>
          <w:b/>
          <w:bCs/>
          <w:color w:val="555555"/>
          <w:kern w:val="0"/>
        </w:rPr>
        <w:t>、议标地点</w:t>
      </w:r>
      <w:r>
        <w:rPr>
          <w:rFonts w:hint="eastAsia" w:ascii="宋体" w:hAnsi="宋体" w:eastAsia="宋体" w:cs="宋体"/>
          <w:color w:val="555555"/>
          <w:kern w:val="0"/>
          <w:szCs w:val="21"/>
        </w:rPr>
        <w:t>：浙江省岱山县第一人民医院医技楼</w:t>
      </w:r>
      <w:r>
        <w:rPr>
          <w:rFonts w:hint="eastAsia" w:ascii="宋体" w:hAnsi="宋体" w:eastAsia="宋体" w:cs="宋体"/>
          <w:color w:val="555555"/>
          <w:kern w:val="0"/>
          <w:szCs w:val="21"/>
          <w:lang w:val="en-US" w:eastAsia="zh-CN"/>
        </w:rPr>
        <w:t>6</w:t>
      </w:r>
      <w:r>
        <w:rPr>
          <w:rFonts w:hint="eastAsia" w:ascii="宋体" w:hAnsi="宋体" w:eastAsia="宋体" w:cs="宋体"/>
          <w:color w:val="555555"/>
          <w:kern w:val="0"/>
          <w:szCs w:val="21"/>
        </w:rPr>
        <w:t>楼会议室。</w:t>
      </w:r>
    </w:p>
    <w:p>
      <w:pPr>
        <w:widowControl/>
        <w:spacing w:line="288" w:lineRule="atLeast"/>
        <w:jc w:val="left"/>
        <w:rPr>
          <w:rFonts w:ascii="宋体" w:hAnsi="宋体" w:eastAsia="宋体" w:cs="宋体"/>
          <w:b/>
          <w:bCs/>
          <w:color w:val="555555"/>
          <w:kern w:val="0"/>
        </w:rPr>
      </w:pPr>
      <w:r>
        <w:rPr>
          <w:rFonts w:hint="eastAsia" w:ascii="宋体" w:hAnsi="宋体" w:eastAsia="宋体" w:cs="宋体"/>
          <w:b/>
          <w:bCs/>
          <w:color w:val="555555"/>
          <w:kern w:val="0"/>
          <w:lang w:eastAsia="zh-CN"/>
        </w:rPr>
        <w:t>十</w:t>
      </w:r>
      <w:r>
        <w:rPr>
          <w:rFonts w:hint="eastAsia" w:ascii="宋体" w:hAnsi="宋体" w:eastAsia="宋体" w:cs="宋体"/>
          <w:b/>
          <w:bCs/>
          <w:color w:val="555555"/>
          <w:kern w:val="0"/>
        </w:rPr>
        <w:t>、议标资料经审核合格后，方可进行议价，否则取消资格；超过规定送达现场的投标文件也取消议标资格。</w:t>
      </w:r>
    </w:p>
    <w:p>
      <w:pPr>
        <w:widowControl/>
        <w:spacing w:line="288" w:lineRule="atLeast"/>
        <w:jc w:val="center"/>
        <w:rPr>
          <w:rFonts w:ascii="微软雅黑" w:hAnsi="微软雅黑" w:eastAsia="微软雅黑" w:cs="宋体"/>
          <w:color w:val="555555"/>
          <w:kern w:val="0"/>
          <w:sz w:val="19"/>
          <w:szCs w:val="19"/>
        </w:rPr>
      </w:pPr>
      <w:r>
        <w:rPr>
          <w:rFonts w:hint="eastAsia" w:ascii="宋体" w:hAnsi="宋体"/>
          <w:b/>
          <w:sz w:val="30"/>
          <w:szCs w:val="30"/>
        </w:rPr>
        <w:t>第二章 招标需求</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outlineLvl w:val="0"/>
        <w:rPr>
          <w:rFonts w:hint="default" w:ascii="Arial" w:hAnsi="Arial" w:cs="Arial"/>
          <w:b/>
          <w:bCs/>
          <w:sz w:val="32"/>
          <w:szCs w:val="32"/>
        </w:rPr>
      </w:pPr>
      <w:bookmarkStart w:id="2" w:name="_Toc3947"/>
      <w:r>
        <w:rPr>
          <w:rFonts w:hint="eastAsia" w:ascii="Arial" w:hAnsi="Arial" w:cs="Arial"/>
          <w:b/>
          <w:bCs/>
          <w:sz w:val="32"/>
          <w:szCs w:val="32"/>
        </w:rPr>
        <w:t>项目概述</w:t>
      </w:r>
      <w:bookmarkEnd w:id="2"/>
    </w:p>
    <w:p>
      <w:pPr>
        <w:keepNext w:val="0"/>
        <w:keepLines w:val="0"/>
        <w:pageBreakBefore w:val="0"/>
        <w:widowControl w:val="0"/>
        <w:numPr>
          <w:ilvl w:val="1"/>
          <w:numId w:val="2"/>
        </w:numPr>
        <w:kinsoku/>
        <w:wordWrap/>
        <w:overflowPunct/>
        <w:topLinePunct w:val="0"/>
        <w:autoSpaceDE/>
        <w:autoSpaceDN/>
        <w:bidi w:val="0"/>
        <w:adjustRightInd/>
        <w:snapToGrid/>
        <w:spacing w:line="360" w:lineRule="auto"/>
        <w:ind w:left="0" w:leftChars="0" w:firstLine="0" w:firstLineChars="0"/>
        <w:textAlignment w:val="auto"/>
        <w:outlineLvl w:val="1"/>
        <w:rPr>
          <w:rFonts w:hint="default" w:ascii="Arial" w:hAnsi="Arial" w:eastAsia="宋体" w:cs="Arial"/>
          <w:b/>
          <w:bCs/>
          <w:sz w:val="28"/>
          <w:szCs w:val="28"/>
        </w:rPr>
      </w:pPr>
      <w:bookmarkStart w:id="3" w:name="_Toc17668"/>
      <w:r>
        <w:rPr>
          <w:rFonts w:hint="eastAsia" w:ascii="Arial" w:hAnsi="Arial" w:eastAsia="宋体" w:cs="Arial"/>
          <w:b/>
          <w:bCs/>
          <w:sz w:val="28"/>
          <w:szCs w:val="28"/>
        </w:rPr>
        <w:t>项目一览表</w:t>
      </w:r>
      <w:bookmarkEnd w:id="3"/>
    </w:p>
    <w:tbl>
      <w:tblPr>
        <w:tblStyle w:val="16"/>
        <w:tblW w:w="9101"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108" w:type="dxa"/>
          <w:bottom w:w="0" w:type="dxa"/>
          <w:right w:w="108" w:type="dxa"/>
        </w:tblCellMar>
      </w:tblPr>
      <w:tblGrid>
        <w:gridCol w:w="463"/>
        <w:gridCol w:w="1844"/>
        <w:gridCol w:w="1280"/>
        <w:gridCol w:w="1100"/>
        <w:gridCol w:w="1522"/>
        <w:gridCol w:w="1446"/>
        <w:gridCol w:w="1446"/>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690" w:hRule="atLeast"/>
          <w:jc w:val="center"/>
        </w:trPr>
        <w:tc>
          <w:tcPr>
            <w:tcW w:w="463" w:type="dxa"/>
            <w:tcBorders>
              <w:bottom w:val="single" w:color="000000" w:sz="4" w:space="0"/>
            </w:tcBorders>
            <w:vAlign w:val="center"/>
          </w:tcPr>
          <w:p>
            <w:pPr>
              <w:snapToGrid w:val="0"/>
              <w:spacing w:line="360" w:lineRule="auto"/>
              <w:jc w:val="center"/>
              <w:rPr>
                <w:rFonts w:hint="eastAsia" w:ascii="宋体" w:hAnsi="宋体" w:cs="宋体"/>
                <w:szCs w:val="21"/>
              </w:rPr>
            </w:pPr>
            <w:r>
              <w:rPr>
                <w:rFonts w:hint="eastAsia" w:ascii="宋体" w:hAnsi="宋体" w:cs="宋体"/>
                <w:szCs w:val="21"/>
              </w:rPr>
              <w:t>序号</w:t>
            </w:r>
          </w:p>
        </w:tc>
        <w:tc>
          <w:tcPr>
            <w:tcW w:w="1844" w:type="dxa"/>
            <w:tcBorders>
              <w:left w:val="single" w:color="000000" w:sz="4" w:space="0"/>
              <w:bottom w:val="single" w:color="000000" w:sz="4" w:space="0"/>
            </w:tcBorders>
            <w:vAlign w:val="center"/>
          </w:tcPr>
          <w:p>
            <w:pPr>
              <w:snapToGrid w:val="0"/>
              <w:spacing w:line="360" w:lineRule="auto"/>
              <w:jc w:val="center"/>
              <w:rPr>
                <w:rFonts w:hint="eastAsia" w:ascii="宋体" w:hAnsi="宋体" w:cs="宋体"/>
                <w:szCs w:val="21"/>
              </w:rPr>
            </w:pPr>
            <w:r>
              <w:rPr>
                <w:rFonts w:hint="eastAsia" w:ascii="宋体" w:hAnsi="宋体" w:cs="宋体"/>
                <w:szCs w:val="21"/>
              </w:rPr>
              <w:t>标项内容</w:t>
            </w:r>
          </w:p>
        </w:tc>
        <w:tc>
          <w:tcPr>
            <w:tcW w:w="1280" w:type="dxa"/>
            <w:tcBorders>
              <w:left w:val="single" w:color="000000" w:sz="4" w:space="0"/>
              <w:bottom w:val="single" w:color="000000" w:sz="4" w:space="0"/>
            </w:tcBorders>
            <w:vAlign w:val="center"/>
          </w:tcPr>
          <w:p>
            <w:pPr>
              <w:snapToGrid w:val="0"/>
              <w:spacing w:line="360" w:lineRule="auto"/>
              <w:jc w:val="center"/>
              <w:rPr>
                <w:rFonts w:hint="default" w:ascii="宋体" w:hAnsi="宋体" w:cs="宋体"/>
                <w:szCs w:val="21"/>
                <w:lang w:val="en-US"/>
              </w:rPr>
            </w:pPr>
            <w:r>
              <w:rPr>
                <w:rFonts w:hint="eastAsia" w:ascii="宋体" w:hAnsi="宋体" w:cs="宋体"/>
                <w:szCs w:val="21"/>
                <w:lang w:val="en-US" w:eastAsia="zh-CN"/>
              </w:rPr>
              <w:t>服务周期</w:t>
            </w:r>
          </w:p>
        </w:tc>
        <w:tc>
          <w:tcPr>
            <w:tcW w:w="1100" w:type="dxa"/>
            <w:tcBorders>
              <w:left w:val="single" w:color="000000" w:sz="4" w:space="0"/>
              <w:bottom w:val="single" w:color="000000" w:sz="4" w:space="0"/>
            </w:tcBorders>
            <w:vAlign w:val="center"/>
          </w:tcPr>
          <w:p>
            <w:pPr>
              <w:snapToGrid w:val="0"/>
              <w:spacing w:line="360" w:lineRule="auto"/>
              <w:jc w:val="center"/>
              <w:rPr>
                <w:rFonts w:hint="eastAsia" w:ascii="宋体" w:hAnsi="宋体" w:cs="宋体"/>
                <w:szCs w:val="21"/>
              </w:rPr>
            </w:pPr>
            <w:r>
              <w:rPr>
                <w:rFonts w:hint="eastAsia" w:ascii="宋体" w:hAnsi="宋体" w:cs="宋体"/>
                <w:szCs w:val="21"/>
              </w:rPr>
              <w:t>预算金额</w:t>
            </w:r>
          </w:p>
          <w:p>
            <w:pPr>
              <w:snapToGrid w:val="0"/>
              <w:spacing w:line="360" w:lineRule="auto"/>
              <w:jc w:val="center"/>
              <w:rPr>
                <w:rFonts w:hint="eastAsia" w:ascii="宋体" w:hAnsi="宋体" w:cs="宋体"/>
                <w:szCs w:val="21"/>
              </w:rPr>
            </w:pPr>
            <w:r>
              <w:rPr>
                <w:rFonts w:hint="eastAsia" w:ascii="宋体" w:hAnsi="宋体" w:cs="宋体"/>
                <w:szCs w:val="21"/>
              </w:rPr>
              <w:t>（万元）</w:t>
            </w:r>
          </w:p>
        </w:tc>
        <w:tc>
          <w:tcPr>
            <w:tcW w:w="1522" w:type="dxa"/>
            <w:tcBorders>
              <w:left w:val="single" w:color="000000" w:sz="4" w:space="0"/>
              <w:bottom w:val="single" w:color="000000" w:sz="4" w:space="0"/>
            </w:tcBorders>
            <w:vAlign w:val="center"/>
          </w:tcPr>
          <w:p>
            <w:pPr>
              <w:snapToGrid w:val="0"/>
              <w:spacing w:line="360" w:lineRule="auto"/>
              <w:jc w:val="center"/>
              <w:rPr>
                <w:rFonts w:hint="eastAsia" w:ascii="宋体" w:hAnsi="宋体" w:cs="宋体"/>
                <w:szCs w:val="21"/>
              </w:rPr>
            </w:pPr>
            <w:r>
              <w:rPr>
                <w:rFonts w:hint="eastAsia" w:ascii="宋体" w:hAnsi="宋体" w:cs="宋体"/>
                <w:szCs w:val="21"/>
              </w:rPr>
              <w:t>主要技术规格</w:t>
            </w:r>
          </w:p>
        </w:tc>
        <w:tc>
          <w:tcPr>
            <w:tcW w:w="1446" w:type="dxa"/>
            <w:tcBorders>
              <w:left w:val="single" w:color="000000" w:sz="4" w:space="0"/>
              <w:bottom w:val="single" w:color="000000" w:sz="4" w:space="0"/>
            </w:tcBorders>
            <w:vAlign w:val="center"/>
          </w:tcPr>
          <w:p>
            <w:pPr>
              <w:snapToGrid w:val="0"/>
              <w:spacing w:line="360" w:lineRule="auto"/>
              <w:jc w:val="center"/>
              <w:rPr>
                <w:rFonts w:hint="eastAsia" w:ascii="宋体" w:hAnsi="宋体" w:cs="宋体"/>
                <w:szCs w:val="21"/>
                <w:lang w:val="en-US" w:eastAsia="zh-CN"/>
              </w:rPr>
            </w:pPr>
            <w:r>
              <w:rPr>
                <w:rFonts w:hint="eastAsia" w:ascii="宋体" w:hAnsi="宋体" w:cs="宋体"/>
                <w:szCs w:val="21"/>
              </w:rPr>
              <w:t>交货期</w:t>
            </w:r>
          </w:p>
        </w:tc>
        <w:tc>
          <w:tcPr>
            <w:tcW w:w="1446" w:type="dxa"/>
            <w:tcBorders>
              <w:left w:val="single" w:color="000000" w:sz="4" w:space="0"/>
              <w:bottom w:val="single" w:color="000000" w:sz="4" w:space="0"/>
            </w:tcBorders>
            <w:vAlign w:val="center"/>
          </w:tcPr>
          <w:p>
            <w:pPr>
              <w:snapToGrid w:val="0"/>
              <w:spacing w:line="360" w:lineRule="auto"/>
              <w:jc w:val="center"/>
              <w:rPr>
                <w:rFonts w:hint="eastAsia" w:ascii="宋体" w:hAnsi="宋体" w:cs="宋体"/>
                <w:szCs w:val="21"/>
              </w:rPr>
            </w:pPr>
            <w:r>
              <w:rPr>
                <w:rFonts w:hint="eastAsia" w:ascii="宋体" w:hAnsi="宋体" w:cs="宋体"/>
                <w:szCs w:val="21"/>
                <w:lang w:val="en-US" w:eastAsia="zh-CN"/>
              </w:rPr>
              <w:t>服务地点</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690" w:hRule="atLeast"/>
          <w:jc w:val="center"/>
        </w:trPr>
        <w:tc>
          <w:tcPr>
            <w:tcW w:w="463" w:type="dxa"/>
            <w:tcBorders>
              <w:top w:val="single" w:color="000000" w:sz="4" w:space="0"/>
              <w:bottom w:val="single" w:color="000000" w:sz="4" w:space="0"/>
            </w:tcBorders>
            <w:vAlign w:val="center"/>
          </w:tcPr>
          <w:p>
            <w:pPr>
              <w:snapToGrid w:val="0"/>
              <w:spacing w:line="360" w:lineRule="auto"/>
              <w:jc w:val="center"/>
              <w:rPr>
                <w:rFonts w:hint="eastAsia" w:ascii="宋体" w:hAnsi="宋体" w:cs="宋体"/>
                <w:szCs w:val="21"/>
              </w:rPr>
            </w:pPr>
            <w:r>
              <w:rPr>
                <w:rFonts w:hint="eastAsia" w:ascii="宋体" w:hAnsi="宋体" w:cs="宋体"/>
                <w:szCs w:val="21"/>
              </w:rPr>
              <w:t>1</w:t>
            </w:r>
          </w:p>
        </w:tc>
        <w:tc>
          <w:tcPr>
            <w:tcW w:w="1844" w:type="dxa"/>
            <w:tcBorders>
              <w:top w:val="single" w:color="000000" w:sz="4" w:space="0"/>
              <w:left w:val="single" w:color="000000" w:sz="4" w:space="0"/>
              <w:bottom w:val="single" w:color="000000" w:sz="4" w:space="0"/>
            </w:tcBorders>
            <w:vAlign w:val="center"/>
          </w:tcPr>
          <w:p>
            <w:pPr>
              <w:snapToGrid w:val="0"/>
              <w:spacing w:line="360" w:lineRule="auto"/>
              <w:jc w:val="center"/>
              <w:rPr>
                <w:rFonts w:hint="default" w:ascii="宋体" w:hAnsi="宋体" w:cs="宋体"/>
                <w:szCs w:val="21"/>
                <w:lang w:val="en-US" w:eastAsia="zh-CN"/>
              </w:rPr>
            </w:pPr>
            <w:r>
              <w:rPr>
                <w:rFonts w:hint="default" w:ascii="宋体" w:hAnsi="宋体" w:cs="宋体"/>
                <w:szCs w:val="21"/>
                <w:lang w:val="en-US" w:eastAsia="zh-CN"/>
              </w:rPr>
              <w:t>医保DRG医院智慧运营管理服务</w:t>
            </w:r>
          </w:p>
        </w:tc>
        <w:tc>
          <w:tcPr>
            <w:tcW w:w="1280" w:type="dxa"/>
            <w:tcBorders>
              <w:top w:val="single" w:color="000000" w:sz="4" w:space="0"/>
              <w:left w:val="single" w:color="000000" w:sz="4" w:space="0"/>
              <w:bottom w:val="single" w:color="000000" w:sz="4" w:space="0"/>
            </w:tcBorders>
            <w:vAlign w:val="center"/>
          </w:tcPr>
          <w:p>
            <w:pPr>
              <w:snapToGrid w:val="0"/>
              <w:spacing w:line="360" w:lineRule="auto"/>
              <w:jc w:val="center"/>
              <w:rPr>
                <w:rFonts w:hint="default" w:ascii="宋体" w:hAnsi="宋体" w:cs="宋体" w:eastAsiaTheme="minorEastAsia"/>
                <w:szCs w:val="21"/>
                <w:lang w:val="en-US" w:eastAsia="zh-CN"/>
              </w:rPr>
            </w:pPr>
            <w:r>
              <w:rPr>
                <w:rFonts w:hint="eastAsia" w:ascii="宋体" w:hAnsi="宋体" w:cs="宋体"/>
                <w:szCs w:val="21"/>
              </w:rPr>
              <w:t>从合同签订日起算</w:t>
            </w:r>
            <w:r>
              <w:rPr>
                <w:rFonts w:hint="eastAsia" w:ascii="宋体" w:hAnsi="宋体" w:cs="宋体"/>
                <w:szCs w:val="21"/>
                <w:lang w:val="en-US" w:eastAsia="zh-CN"/>
              </w:rPr>
              <w:t>2</w:t>
            </w:r>
            <w:r>
              <w:rPr>
                <w:rFonts w:hint="eastAsia" w:ascii="宋体" w:hAnsi="宋体" w:cs="宋体"/>
                <w:szCs w:val="21"/>
              </w:rPr>
              <w:t>年</w:t>
            </w:r>
          </w:p>
        </w:tc>
        <w:tc>
          <w:tcPr>
            <w:tcW w:w="1100" w:type="dxa"/>
            <w:tcBorders>
              <w:top w:val="single" w:color="000000" w:sz="4" w:space="0"/>
              <w:left w:val="single" w:color="000000" w:sz="4" w:space="0"/>
              <w:bottom w:val="single" w:color="000000" w:sz="4" w:space="0"/>
            </w:tcBorders>
            <w:vAlign w:val="center"/>
          </w:tcPr>
          <w:p>
            <w:pPr>
              <w:snapToGrid w:val="0"/>
              <w:spacing w:line="360" w:lineRule="auto"/>
              <w:jc w:val="center"/>
              <w:rPr>
                <w:rFonts w:hint="eastAsia" w:ascii="宋体" w:hAnsi="宋体" w:cs="宋体"/>
                <w:szCs w:val="21"/>
                <w:lang w:eastAsia="zh-CN"/>
              </w:rPr>
            </w:pPr>
            <w:r>
              <w:rPr>
                <w:rFonts w:hint="eastAsia" w:ascii="宋体" w:hAnsi="宋体" w:cs="宋体"/>
                <w:szCs w:val="21"/>
                <w:lang w:val="en-US" w:eastAsia="zh-CN"/>
              </w:rPr>
              <w:t>19.9</w:t>
            </w:r>
            <w:r>
              <w:rPr>
                <w:rFonts w:hint="eastAsia" w:ascii="宋体" w:hAnsi="宋体" w:cs="宋体"/>
                <w:szCs w:val="21"/>
                <w:lang w:eastAsia="zh-CN"/>
              </w:rPr>
              <w:t>万元</w:t>
            </w:r>
          </w:p>
        </w:tc>
        <w:tc>
          <w:tcPr>
            <w:tcW w:w="1522" w:type="dxa"/>
            <w:tcBorders>
              <w:top w:val="single" w:color="000000" w:sz="4" w:space="0"/>
              <w:left w:val="single" w:color="000000" w:sz="4" w:space="0"/>
              <w:bottom w:val="single" w:color="000000" w:sz="4" w:space="0"/>
            </w:tcBorders>
            <w:vAlign w:val="center"/>
          </w:tcPr>
          <w:p>
            <w:pPr>
              <w:snapToGrid w:val="0"/>
              <w:spacing w:line="360" w:lineRule="auto"/>
              <w:jc w:val="center"/>
              <w:rPr>
                <w:rFonts w:hint="eastAsia" w:ascii="宋体" w:hAnsi="宋体" w:cs="宋体"/>
                <w:szCs w:val="21"/>
              </w:rPr>
            </w:pPr>
            <w:r>
              <w:rPr>
                <w:rFonts w:hint="eastAsia" w:ascii="宋体" w:hAnsi="宋体" w:cs="宋体"/>
                <w:szCs w:val="21"/>
              </w:rPr>
              <w:t>详见服务需求</w:t>
            </w:r>
          </w:p>
        </w:tc>
        <w:tc>
          <w:tcPr>
            <w:tcW w:w="1446" w:type="dxa"/>
            <w:tcBorders>
              <w:top w:val="single" w:color="000000" w:sz="4" w:space="0"/>
              <w:left w:val="single" w:color="000000" w:sz="4" w:space="0"/>
              <w:bottom w:val="single" w:color="000000" w:sz="4" w:space="0"/>
            </w:tcBorders>
            <w:vAlign w:val="center"/>
          </w:tcPr>
          <w:p>
            <w:pPr>
              <w:snapToGrid w:val="0"/>
              <w:spacing w:line="360" w:lineRule="auto"/>
              <w:jc w:val="center"/>
              <w:rPr>
                <w:rFonts w:hint="default" w:ascii="宋体" w:hAnsi="宋体" w:eastAsia="宋体" w:cs="宋体"/>
                <w:szCs w:val="21"/>
                <w:lang w:val="en-US" w:eastAsia="zh-CN"/>
              </w:rPr>
            </w:pPr>
            <w:r>
              <w:rPr>
                <w:rFonts w:hint="eastAsia" w:ascii="宋体" w:hAnsi="宋体" w:eastAsia="宋体" w:cs="宋体"/>
                <w:szCs w:val="21"/>
                <w:lang w:val="en-US" w:eastAsia="zh-CN"/>
              </w:rPr>
              <w:t>合同签订后</w:t>
            </w:r>
            <w:r>
              <w:rPr>
                <w:rFonts w:hint="eastAsia" w:ascii="宋体" w:hAnsi="宋体" w:cs="宋体"/>
                <w:szCs w:val="21"/>
                <w:lang w:val="en-US" w:eastAsia="zh-CN"/>
              </w:rPr>
              <w:t>1</w:t>
            </w:r>
            <w:r>
              <w:rPr>
                <w:rFonts w:hint="eastAsia" w:ascii="宋体" w:hAnsi="宋体" w:eastAsia="宋体" w:cs="宋体"/>
                <w:szCs w:val="21"/>
                <w:lang w:val="en-US" w:eastAsia="zh-CN"/>
              </w:rPr>
              <w:t>个月内</w:t>
            </w:r>
          </w:p>
        </w:tc>
        <w:tc>
          <w:tcPr>
            <w:tcW w:w="1446" w:type="dxa"/>
            <w:tcBorders>
              <w:top w:val="single" w:color="000000" w:sz="4" w:space="0"/>
              <w:left w:val="single" w:color="000000" w:sz="4" w:space="0"/>
              <w:bottom w:val="single" w:color="000000" w:sz="4" w:space="0"/>
            </w:tcBorders>
            <w:vAlign w:val="center"/>
          </w:tcPr>
          <w:p>
            <w:pPr>
              <w:snapToGrid w:val="0"/>
              <w:spacing w:line="360" w:lineRule="auto"/>
              <w:jc w:val="center"/>
              <w:rPr>
                <w:rFonts w:hint="default" w:ascii="宋体" w:hAnsi="宋体" w:eastAsia="宋体" w:cs="宋体"/>
                <w:szCs w:val="21"/>
                <w:lang w:val="en-US" w:eastAsia="zh-CN"/>
              </w:rPr>
            </w:pPr>
            <w:r>
              <w:rPr>
                <w:rFonts w:hint="default" w:ascii="宋体" w:hAnsi="宋体" w:eastAsia="宋体" w:cs="宋体"/>
                <w:szCs w:val="21"/>
                <w:lang w:val="en-US" w:eastAsia="zh-CN"/>
              </w:rPr>
              <w:t>岱山县第一人民医院</w:t>
            </w:r>
          </w:p>
        </w:tc>
      </w:tr>
    </w:tbl>
    <w:p>
      <w:pPr>
        <w:rPr>
          <w:rFonts w:hint="eastAsia" w:ascii="宋体" w:hAnsi="宋体" w:eastAsia="宋体" w:cs="宋体"/>
        </w:rPr>
      </w:pPr>
    </w:p>
    <w:p>
      <w:pPr>
        <w:keepNext w:val="0"/>
        <w:keepLines w:val="0"/>
        <w:pageBreakBefore w:val="0"/>
        <w:widowControl w:val="0"/>
        <w:numPr>
          <w:ilvl w:val="1"/>
          <w:numId w:val="2"/>
        </w:numPr>
        <w:kinsoku/>
        <w:wordWrap/>
        <w:overflowPunct/>
        <w:topLinePunct w:val="0"/>
        <w:autoSpaceDE/>
        <w:autoSpaceDN/>
        <w:bidi w:val="0"/>
        <w:adjustRightInd/>
        <w:snapToGrid/>
        <w:spacing w:line="360" w:lineRule="auto"/>
        <w:ind w:left="0" w:leftChars="0" w:firstLine="0" w:firstLineChars="0"/>
        <w:textAlignment w:val="auto"/>
        <w:outlineLvl w:val="1"/>
        <w:rPr>
          <w:rFonts w:hint="eastAsia" w:ascii="Arial" w:hAnsi="Arial" w:eastAsia="宋体" w:cs="Arial"/>
          <w:b/>
          <w:bCs/>
          <w:sz w:val="28"/>
          <w:szCs w:val="28"/>
        </w:rPr>
      </w:pPr>
      <w:bookmarkStart w:id="4" w:name="_Toc15562"/>
      <w:bookmarkStart w:id="5" w:name="_Toc147665115"/>
      <w:bookmarkStart w:id="6" w:name="_Toc55921035"/>
      <w:r>
        <w:rPr>
          <w:rFonts w:hint="eastAsia" w:ascii="Arial" w:hAnsi="Arial" w:eastAsia="宋体" w:cs="Arial"/>
          <w:b/>
          <w:bCs/>
          <w:sz w:val="28"/>
          <w:szCs w:val="28"/>
        </w:rPr>
        <w:t>建设目标</w:t>
      </w:r>
      <w:bookmarkEnd w:id="4"/>
      <w:bookmarkEnd w:id="5"/>
      <w:bookmarkEnd w:id="6"/>
    </w:p>
    <w:p>
      <w:pPr>
        <w:widowControl/>
        <w:spacing w:line="360" w:lineRule="auto"/>
        <w:ind w:firstLine="480" w:firstLineChars="200"/>
        <w:rPr>
          <w:rFonts w:ascii="宋体" w:hAnsi="宋体" w:cs="宋体"/>
          <w:sz w:val="24"/>
          <w:szCs w:val="22"/>
        </w:rPr>
      </w:pPr>
      <w:r>
        <w:rPr>
          <w:rFonts w:hint="eastAsia" w:ascii="宋体" w:hAnsi="宋体" w:cs="宋体"/>
          <w:sz w:val="24"/>
          <w:szCs w:val="22"/>
        </w:rPr>
        <w:t>根据国家和浙江省的医保支付方式改革，及</w:t>
      </w:r>
      <w:r>
        <w:rPr>
          <w:rFonts w:hint="eastAsia" w:ascii="宋体" w:hAnsi="宋体" w:cs="宋体"/>
          <w:sz w:val="24"/>
          <w:szCs w:val="22"/>
          <w:lang w:val="en-US" w:eastAsia="zh-CN"/>
        </w:rPr>
        <w:t>当地</w:t>
      </w:r>
      <w:r>
        <w:rPr>
          <w:rFonts w:hint="eastAsia" w:ascii="宋体" w:hAnsi="宋体" w:cs="宋体"/>
          <w:sz w:val="24"/>
          <w:szCs w:val="22"/>
        </w:rPr>
        <w:t>卫生信息化建设相关的政策和文件精神要求，并结合医院的现状情况，本项目建设需完成以下建设目标：</w:t>
      </w:r>
    </w:p>
    <w:p>
      <w:pPr>
        <w:pStyle w:val="37"/>
        <w:numPr>
          <w:ilvl w:val="0"/>
          <w:numId w:val="3"/>
        </w:numPr>
        <w:spacing w:line="360" w:lineRule="auto"/>
        <w:ind w:firstLineChars="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通过DRGs数据治理服务的建模处理将临床医生使用的疾病诊断和手术操作诊断转化为医保DRGs支付政策所要求的ICD-10和ICD-9-CM3，以减少病案室人工纠错率，提升医保费用获取率。</w:t>
      </w:r>
    </w:p>
    <w:p>
      <w:pPr>
        <w:pStyle w:val="37"/>
        <w:numPr>
          <w:ilvl w:val="0"/>
          <w:numId w:val="3"/>
        </w:numPr>
        <w:spacing w:line="360" w:lineRule="auto"/>
        <w:ind w:firstLineChars="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可根据当地统筹区医保局返回的医保支付数据模拟分组器，在临床治疗过程中“事前提醒”，做到有效自身控制，避免事后（病人出院以及整个诊疗过程完成以后）来不及补救的现象，减少医院的事实性损失。</w:t>
      </w:r>
    </w:p>
    <w:p>
      <w:pPr>
        <w:pStyle w:val="37"/>
        <w:numPr>
          <w:ilvl w:val="0"/>
          <w:numId w:val="3"/>
        </w:numPr>
        <w:spacing w:line="360" w:lineRule="auto"/>
        <w:ind w:firstLineChars="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实现病案首页诊断、编码等内容的自动校对功能。</w:t>
      </w:r>
    </w:p>
    <w:p>
      <w:pPr>
        <w:pStyle w:val="37"/>
        <w:numPr>
          <w:ilvl w:val="0"/>
          <w:numId w:val="3"/>
        </w:numPr>
        <w:spacing w:line="360" w:lineRule="auto"/>
        <w:ind w:firstLineChars="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对病种入组率、完成率、平均住院费用、平均住院日等指标进行自动分析。</w:t>
      </w:r>
    </w:p>
    <w:p>
      <w:pPr>
        <w:pStyle w:val="37"/>
        <w:numPr>
          <w:ilvl w:val="0"/>
          <w:numId w:val="3"/>
        </w:numPr>
        <w:spacing w:line="360" w:lineRule="auto"/>
        <w:ind w:firstLineChars="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在保障医疗质量的前提下，有效降低医疗成本，实现医院付费方式改革的信息化，给DRGs的推广提供有力支撑。</w:t>
      </w:r>
    </w:p>
    <w:p>
      <w:pPr>
        <w:pStyle w:val="37"/>
        <w:numPr>
          <w:ilvl w:val="0"/>
          <w:numId w:val="3"/>
        </w:numPr>
        <w:spacing w:line="360" w:lineRule="auto"/>
        <w:ind w:firstLineChars="0"/>
        <w:rPr>
          <w:rFonts w:hint="eastAsia" w:ascii="宋体" w:hAnsi="宋体" w:eastAsia="宋体" w:cs="宋体"/>
          <w:sz w:val="24"/>
          <w:szCs w:val="24"/>
          <w:shd w:val="clear" w:color="auto" w:fill="FFFFFF"/>
        </w:rPr>
      </w:pPr>
      <w:r>
        <w:rPr>
          <w:rFonts w:hint="eastAsia" w:ascii="宋体" w:hAnsi="宋体" w:eastAsia="宋体" w:cs="宋体"/>
          <w:sz w:val="24"/>
          <w:szCs w:val="24"/>
          <w:shd w:val="clear" w:color="auto" w:fill="FFFFFF"/>
        </w:rPr>
        <w:t>为管理决策层提供经营决策的辅助依据，实现对医院运营情况及时监控，提前预判，从而优化资源配置，有效提高医务工作者的工作效率，提升医院整体经济效益。</w:t>
      </w:r>
    </w:p>
    <w:p>
      <w:pPr>
        <w:pStyle w:val="37"/>
        <w:numPr>
          <w:ilvl w:val="0"/>
          <w:numId w:val="3"/>
        </w:numPr>
        <w:spacing w:line="360" w:lineRule="auto"/>
        <w:ind w:firstLineChars="0"/>
        <w:rPr>
          <w:rFonts w:hint="eastAsia" w:ascii="宋体" w:hAnsi="宋体" w:cs="宋体"/>
          <w:shd w:val="clear" w:color="auto" w:fill="FFFFFF" w:themeFill="background1"/>
        </w:rPr>
      </w:pPr>
      <w:r>
        <w:rPr>
          <w:rFonts w:hint="eastAsia" w:ascii="宋体" w:hAnsi="宋体" w:eastAsia="宋体" w:cs="宋体"/>
          <w:sz w:val="24"/>
          <w:szCs w:val="24"/>
          <w:shd w:val="clear" w:color="auto" w:fill="FFFFFF"/>
        </w:rPr>
        <w:t>提供医保结算校对功能（即：对医保局反馈回医院的每月的DRGs结算单数据进行核对），帮助医院医保部门减轻人工工作量，减少因为申诉不及时导致医院造成无谓损失的现象。</w:t>
      </w:r>
    </w:p>
    <w:p>
      <w:pPr>
        <w:widowControl/>
        <w:topLinePunct w:val="0"/>
        <w:spacing w:line="240" w:lineRule="auto"/>
        <w:jc w:val="left"/>
        <w:textAlignment w:val="auto"/>
        <w:rPr>
          <w:rFonts w:hint="default" w:ascii="Arial" w:hAnsi="Arial" w:cs="Arial"/>
          <w:b/>
          <w:bCs/>
          <w:sz w:val="32"/>
          <w:szCs w:val="32"/>
        </w:rPr>
      </w:pPr>
      <w:bookmarkStart w:id="7" w:name="_Toc23415"/>
      <w:bookmarkStart w:id="8" w:name="_Toc147665116"/>
      <w:r>
        <w:rPr>
          <w:rFonts w:hint="eastAsia" w:ascii="Arial" w:hAnsi="Arial" w:cs="Arial"/>
          <w:b/>
          <w:bCs/>
          <w:sz w:val="32"/>
          <w:szCs w:val="32"/>
        </w:rPr>
        <w:t>招标要求</w:t>
      </w:r>
      <w:bookmarkEnd w:id="7"/>
      <w:bookmarkEnd w:id="8"/>
    </w:p>
    <w:p>
      <w:pPr>
        <w:keepNext w:val="0"/>
        <w:keepLines w:val="0"/>
        <w:pageBreakBefore w:val="0"/>
        <w:widowControl w:val="0"/>
        <w:numPr>
          <w:ilvl w:val="1"/>
          <w:numId w:val="2"/>
        </w:numPr>
        <w:kinsoku/>
        <w:wordWrap/>
        <w:overflowPunct/>
        <w:topLinePunct w:val="0"/>
        <w:autoSpaceDE/>
        <w:autoSpaceDN/>
        <w:bidi w:val="0"/>
        <w:adjustRightInd/>
        <w:snapToGrid/>
        <w:spacing w:line="360" w:lineRule="auto"/>
        <w:ind w:left="0" w:leftChars="0" w:firstLine="0" w:firstLineChars="0"/>
        <w:textAlignment w:val="auto"/>
        <w:outlineLvl w:val="1"/>
        <w:rPr>
          <w:rFonts w:hint="default" w:ascii="Arial" w:hAnsi="Arial" w:eastAsia="宋体" w:cs="Arial"/>
          <w:b/>
          <w:bCs/>
          <w:sz w:val="28"/>
          <w:szCs w:val="28"/>
        </w:rPr>
      </w:pPr>
      <w:bookmarkStart w:id="9" w:name="_Toc15969"/>
      <w:bookmarkStart w:id="10" w:name="_Toc22746229"/>
      <w:bookmarkStart w:id="11" w:name="_Toc147665117"/>
      <w:r>
        <w:rPr>
          <w:rFonts w:hint="eastAsia" w:ascii="Arial" w:hAnsi="Arial" w:eastAsia="宋体" w:cs="Arial"/>
          <w:b/>
          <w:bCs/>
          <w:sz w:val="28"/>
          <w:szCs w:val="28"/>
        </w:rPr>
        <w:t>总体技术需求</w:t>
      </w:r>
      <w:bookmarkEnd w:id="9"/>
      <w:bookmarkEnd w:id="10"/>
      <w:bookmarkEnd w:id="11"/>
    </w:p>
    <w:p>
      <w:pPr>
        <w:spacing w:line="360" w:lineRule="auto"/>
        <w:ind w:firstLine="480" w:firstLineChars="200"/>
        <w:rPr>
          <w:rFonts w:ascii="宋体" w:hAnsi="宋体" w:cs="宋体"/>
          <w:sz w:val="24"/>
          <w:szCs w:val="24"/>
        </w:rPr>
      </w:pPr>
      <w:r>
        <w:rPr>
          <w:rFonts w:hint="eastAsia" w:ascii="宋体" w:hAnsi="宋体" w:cs="宋体"/>
          <w:sz w:val="24"/>
          <w:szCs w:val="24"/>
        </w:rPr>
        <w:t>本次项目为软件系统服务项目，硬件、网络、安全等都利用现有医院资源，不另行采购。总体技术需求如下：</w:t>
      </w:r>
    </w:p>
    <w:p>
      <w:pPr>
        <w:widowControl/>
        <w:spacing w:line="360" w:lineRule="auto"/>
        <w:ind w:firstLine="480" w:firstLineChars="200"/>
        <w:rPr>
          <w:rFonts w:ascii="宋体" w:hAnsi="宋体" w:cs="宋体"/>
          <w:sz w:val="24"/>
          <w:szCs w:val="24"/>
        </w:rPr>
      </w:pPr>
      <w:r>
        <w:rPr>
          <w:rFonts w:hint="eastAsia" w:ascii="宋体" w:hAnsi="宋体" w:cs="宋体"/>
          <w:sz w:val="24"/>
          <w:szCs w:val="24"/>
        </w:rPr>
        <w:t>1）采用多层架构的B/S结构，应用展示端建议采用HTML5技术；</w:t>
      </w:r>
    </w:p>
    <w:p>
      <w:pPr>
        <w:widowControl/>
        <w:spacing w:line="360" w:lineRule="auto"/>
        <w:ind w:firstLine="480" w:firstLineChars="200"/>
        <w:rPr>
          <w:rFonts w:ascii="宋体" w:hAnsi="宋体" w:cs="宋体"/>
          <w:sz w:val="24"/>
          <w:szCs w:val="24"/>
        </w:rPr>
      </w:pPr>
      <w:r>
        <w:rPr>
          <w:rFonts w:hint="eastAsia" w:ascii="宋体" w:hAnsi="宋体" w:cs="宋体"/>
          <w:sz w:val="24"/>
          <w:szCs w:val="24"/>
        </w:rPr>
        <w:t>2）考虑到平台将来的可扩展性，平台必须是开放式的：展示页面可视化配置，灵活增加；具有数据集，且数据集可自定义配置；</w:t>
      </w:r>
    </w:p>
    <w:p>
      <w:pPr>
        <w:widowControl/>
        <w:spacing w:line="360" w:lineRule="auto"/>
        <w:ind w:firstLine="480" w:firstLineChars="200"/>
        <w:rPr>
          <w:rFonts w:ascii="宋体" w:hAnsi="宋体" w:cs="宋体"/>
          <w:sz w:val="24"/>
          <w:szCs w:val="24"/>
        </w:rPr>
      </w:pPr>
      <w:r>
        <w:rPr>
          <w:rFonts w:hint="eastAsia" w:ascii="宋体" w:hAnsi="宋体" w:cs="宋体"/>
          <w:sz w:val="24"/>
          <w:szCs w:val="24"/>
        </w:rPr>
        <w:t>3）要有数据展现引擎，可以根据医院需求灵活地配置相关管理指标的呈现；</w:t>
      </w:r>
    </w:p>
    <w:p>
      <w:pPr>
        <w:widowControl/>
        <w:spacing w:line="360" w:lineRule="auto"/>
        <w:ind w:firstLine="480" w:firstLineChars="200"/>
        <w:rPr>
          <w:rFonts w:ascii="宋体" w:hAnsi="宋体" w:cs="宋体"/>
          <w:sz w:val="24"/>
          <w:szCs w:val="24"/>
        </w:rPr>
      </w:pPr>
      <w:r>
        <w:rPr>
          <w:rFonts w:hint="eastAsia" w:ascii="宋体" w:hAnsi="宋体" w:cs="宋体"/>
          <w:sz w:val="24"/>
          <w:szCs w:val="24"/>
        </w:rPr>
        <w:t>4）系统支持ORACLE数据库系统，主流大型数据库；</w:t>
      </w:r>
    </w:p>
    <w:p>
      <w:pPr>
        <w:widowControl/>
        <w:spacing w:line="360" w:lineRule="auto"/>
        <w:ind w:firstLine="480" w:firstLineChars="200"/>
        <w:rPr>
          <w:rFonts w:ascii="宋体" w:hAnsi="宋体" w:cs="宋体"/>
          <w:sz w:val="24"/>
          <w:szCs w:val="24"/>
        </w:rPr>
      </w:pPr>
      <w:r>
        <w:rPr>
          <w:rFonts w:hint="eastAsia" w:ascii="宋体" w:hAnsi="宋体" w:cs="宋体"/>
          <w:sz w:val="24"/>
          <w:szCs w:val="24"/>
        </w:rPr>
        <w:t>支持主流厂商的硬件及操作系统平台；</w:t>
      </w:r>
      <w:r>
        <w:rPr>
          <w:rFonts w:hint="eastAsia" w:ascii="宋体" w:hAnsi="宋体" w:cs="宋体"/>
          <w:sz w:val="24"/>
          <w:szCs w:val="24"/>
        </w:rPr>
        <w:tab/>
      </w:r>
    </w:p>
    <w:p>
      <w:pPr>
        <w:widowControl/>
        <w:spacing w:line="360" w:lineRule="auto"/>
        <w:ind w:firstLine="480" w:firstLineChars="200"/>
        <w:rPr>
          <w:rFonts w:ascii="宋体" w:hAnsi="宋体" w:cs="宋体"/>
          <w:sz w:val="24"/>
          <w:szCs w:val="24"/>
        </w:rPr>
      </w:pPr>
      <w:r>
        <w:rPr>
          <w:rFonts w:hint="eastAsia" w:ascii="宋体" w:hAnsi="宋体" w:cs="宋体"/>
          <w:sz w:val="24"/>
          <w:szCs w:val="24"/>
        </w:rPr>
        <w:t>支持Unix、Linux 、Windows操作系统，支持C/S/S或B/S/S的体系结构；</w:t>
      </w:r>
    </w:p>
    <w:p>
      <w:pPr>
        <w:widowControl/>
        <w:spacing w:line="360" w:lineRule="auto"/>
        <w:ind w:firstLine="480" w:firstLineChars="200"/>
        <w:rPr>
          <w:rFonts w:ascii="宋体" w:hAnsi="宋体" w:cs="宋体"/>
          <w:sz w:val="24"/>
          <w:szCs w:val="24"/>
        </w:rPr>
      </w:pPr>
      <w:r>
        <w:rPr>
          <w:rFonts w:hint="eastAsia" w:ascii="宋体" w:hAnsi="宋体" w:cs="宋体"/>
          <w:sz w:val="24"/>
          <w:szCs w:val="24"/>
        </w:rPr>
        <w:t>支持关系模型，支持分布式处理；</w:t>
      </w:r>
    </w:p>
    <w:p>
      <w:pPr>
        <w:widowControl/>
        <w:spacing w:line="360" w:lineRule="auto"/>
        <w:ind w:firstLine="480" w:firstLineChars="200"/>
        <w:rPr>
          <w:rFonts w:ascii="宋体" w:hAnsi="宋体" w:cs="宋体"/>
          <w:sz w:val="24"/>
          <w:szCs w:val="24"/>
        </w:rPr>
      </w:pPr>
      <w:r>
        <w:rPr>
          <w:rFonts w:hint="eastAsia" w:ascii="宋体" w:hAnsi="宋体" w:cs="宋体"/>
          <w:sz w:val="24"/>
          <w:szCs w:val="24"/>
        </w:rPr>
        <w:t>支持主流的网络协议（TCP/IP、IPX/SPX、NETBIOS及混合协议等）；</w:t>
      </w:r>
    </w:p>
    <w:p>
      <w:pPr>
        <w:widowControl/>
        <w:spacing w:line="360" w:lineRule="auto"/>
        <w:ind w:firstLine="480" w:firstLineChars="200"/>
        <w:rPr>
          <w:rFonts w:ascii="宋体" w:hAnsi="宋体" w:cs="宋体"/>
          <w:sz w:val="24"/>
          <w:szCs w:val="24"/>
        </w:rPr>
      </w:pPr>
      <w:r>
        <w:rPr>
          <w:rFonts w:hint="eastAsia" w:ascii="宋体" w:hAnsi="宋体" w:cs="宋体"/>
          <w:sz w:val="24"/>
          <w:szCs w:val="24"/>
        </w:rPr>
        <w:t>5）须提供配套的ETL工具、数据订阅工具、消息引擎、规则库、报表工具、数据共享引擎等一系列应用工具，可确保各种临床和管理应用效果的配置扩展实现。</w:t>
      </w:r>
    </w:p>
    <w:p>
      <w:pPr>
        <w:widowControl/>
        <w:spacing w:line="360" w:lineRule="auto"/>
        <w:ind w:firstLine="480" w:firstLineChars="200"/>
        <w:rPr>
          <w:rFonts w:ascii="宋体" w:hAnsi="宋体" w:cs="宋体"/>
          <w:sz w:val="24"/>
          <w:szCs w:val="24"/>
        </w:rPr>
      </w:pPr>
      <w:r>
        <w:rPr>
          <w:rFonts w:hint="eastAsia" w:ascii="宋体" w:hAnsi="宋体" w:cs="宋体"/>
          <w:sz w:val="24"/>
          <w:szCs w:val="24"/>
        </w:rPr>
        <w:t>6）</w:t>
      </w:r>
      <w:r>
        <w:rPr>
          <w:rFonts w:ascii="宋体" w:hAnsi="宋体" w:cs="宋体"/>
          <w:sz w:val="24"/>
          <w:szCs w:val="24"/>
        </w:rPr>
        <w:t>DRGs</w:t>
      </w:r>
      <w:r>
        <w:rPr>
          <w:rFonts w:hint="eastAsia" w:ascii="宋体" w:hAnsi="宋体" w:cs="宋体"/>
          <w:sz w:val="24"/>
          <w:szCs w:val="24"/>
        </w:rPr>
        <w:t>数据中心从HIS、电子病历等医院业务系统接入数据时，为不影响当前业务系统的正常运行，也不增加接口改造的风险及费用，推荐采用CDC技术方案（只要能达到准确、高效的数据采集，也可以允许其他技术方案），支持ESB接入；</w:t>
      </w:r>
    </w:p>
    <w:p>
      <w:pPr>
        <w:widowControl/>
        <w:spacing w:line="360" w:lineRule="auto"/>
        <w:ind w:firstLine="480" w:firstLineChars="200"/>
        <w:rPr>
          <w:rFonts w:ascii="宋体" w:hAnsi="宋体" w:cs="宋体"/>
          <w:sz w:val="24"/>
          <w:szCs w:val="24"/>
        </w:rPr>
      </w:pPr>
      <w:r>
        <w:rPr>
          <w:rFonts w:hint="eastAsia" w:ascii="宋体" w:hAnsi="宋体" w:cs="宋体"/>
          <w:sz w:val="24"/>
          <w:szCs w:val="24"/>
        </w:rPr>
        <w:t>7）要求有独立的</w:t>
      </w:r>
      <w:r>
        <w:rPr>
          <w:rFonts w:ascii="宋体" w:hAnsi="宋体" w:cs="宋体"/>
          <w:sz w:val="24"/>
          <w:szCs w:val="24"/>
        </w:rPr>
        <w:t>DRGs</w:t>
      </w:r>
      <w:r>
        <w:rPr>
          <w:rFonts w:hint="eastAsia" w:ascii="宋体" w:hAnsi="宋体" w:cs="宋体"/>
          <w:sz w:val="24"/>
          <w:szCs w:val="24"/>
        </w:rPr>
        <w:t>数据中心的数据模型,要求不能直接引用当前业务系统模型或消息模型。要通过ETL技术对原始业务数据进行抽取、转换、清洗并转存到CDR数据模型中，形成集中存储的</w:t>
      </w:r>
      <w:r>
        <w:rPr>
          <w:rFonts w:ascii="宋体" w:hAnsi="宋体" w:cs="宋体"/>
          <w:sz w:val="24"/>
          <w:szCs w:val="24"/>
        </w:rPr>
        <w:t>DRGs</w:t>
      </w:r>
      <w:r>
        <w:rPr>
          <w:rFonts w:hint="eastAsia" w:ascii="宋体" w:hAnsi="宋体" w:cs="宋体"/>
          <w:sz w:val="24"/>
          <w:szCs w:val="24"/>
        </w:rPr>
        <w:t>数据集；</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hAnsi="宋体" w:cs="宋体"/>
        </w:rPr>
      </w:pPr>
    </w:p>
    <w:p>
      <w:pPr>
        <w:rPr>
          <w:rFonts w:hint="default" w:ascii="Arial" w:hAnsi="Arial" w:eastAsia="宋体" w:cs="Arial"/>
          <w:b/>
          <w:bCs/>
          <w:sz w:val="28"/>
          <w:szCs w:val="28"/>
        </w:rPr>
      </w:pPr>
      <w:bookmarkStart w:id="12" w:name="_Toc147665118"/>
      <w:r>
        <w:rPr>
          <w:rFonts w:hint="eastAsia" w:ascii="Arial" w:hAnsi="Arial" w:cs="Arial"/>
          <w:b/>
          <w:bCs/>
          <w:sz w:val="28"/>
          <w:szCs w:val="28"/>
          <w:lang w:val="en-US" w:eastAsia="zh-CN"/>
        </w:rPr>
        <w:br w:type="page"/>
      </w:r>
    </w:p>
    <w:p>
      <w:pPr>
        <w:keepNext w:val="0"/>
        <w:keepLines w:val="0"/>
        <w:pageBreakBefore w:val="0"/>
        <w:widowControl w:val="0"/>
        <w:numPr>
          <w:ilvl w:val="1"/>
          <w:numId w:val="2"/>
        </w:numPr>
        <w:kinsoku/>
        <w:wordWrap/>
        <w:overflowPunct/>
        <w:topLinePunct w:val="0"/>
        <w:autoSpaceDE/>
        <w:autoSpaceDN/>
        <w:bidi w:val="0"/>
        <w:adjustRightInd/>
        <w:snapToGrid/>
        <w:spacing w:line="360" w:lineRule="auto"/>
        <w:ind w:left="0" w:leftChars="0" w:firstLine="0" w:firstLineChars="0"/>
        <w:textAlignment w:val="auto"/>
        <w:outlineLvl w:val="1"/>
        <w:rPr>
          <w:rFonts w:hint="default" w:ascii="Arial" w:hAnsi="Arial" w:eastAsia="宋体" w:cs="Arial"/>
          <w:b/>
          <w:bCs/>
          <w:sz w:val="28"/>
          <w:szCs w:val="28"/>
        </w:rPr>
      </w:pPr>
      <w:bookmarkStart w:id="13" w:name="_Toc9726"/>
      <w:r>
        <w:rPr>
          <w:rFonts w:hint="eastAsia" w:ascii="Arial" w:hAnsi="Arial" w:cs="Arial"/>
          <w:b/>
          <w:bCs/>
          <w:sz w:val="28"/>
          <w:szCs w:val="28"/>
          <w:lang w:val="en-US" w:eastAsia="zh-CN"/>
        </w:rPr>
        <w:t>服务</w:t>
      </w:r>
      <w:r>
        <w:rPr>
          <w:rFonts w:hint="eastAsia" w:ascii="Arial" w:hAnsi="Arial" w:eastAsia="宋体" w:cs="Arial"/>
          <w:b/>
          <w:bCs/>
          <w:sz w:val="28"/>
          <w:szCs w:val="28"/>
        </w:rPr>
        <w:t>需求</w:t>
      </w:r>
      <w:bookmarkEnd w:id="12"/>
      <w:bookmarkEnd w:id="13"/>
    </w:p>
    <w:p>
      <w:pPr>
        <w:keepNext w:val="0"/>
        <w:keepLines w:val="0"/>
        <w:pageBreakBefore w:val="0"/>
        <w:widowControl w:val="0"/>
        <w:numPr>
          <w:ilvl w:val="2"/>
          <w:numId w:val="2"/>
        </w:numPr>
        <w:kinsoku/>
        <w:wordWrap/>
        <w:overflowPunct/>
        <w:topLinePunct w:val="0"/>
        <w:autoSpaceDE/>
        <w:autoSpaceDN/>
        <w:bidi w:val="0"/>
        <w:adjustRightInd/>
        <w:snapToGrid/>
        <w:spacing w:line="360" w:lineRule="auto"/>
        <w:ind w:left="709" w:leftChars="0" w:hanging="709" w:firstLineChars="0"/>
        <w:textAlignment w:val="auto"/>
        <w:outlineLvl w:val="2"/>
        <w:rPr>
          <w:rFonts w:hint="default" w:ascii="Arial" w:hAnsi="Arial" w:eastAsia="宋体" w:cs="Arial"/>
          <w:b/>
          <w:bCs/>
          <w:color w:val="auto"/>
          <w:sz w:val="28"/>
          <w:szCs w:val="28"/>
          <w:lang w:val="en-US" w:eastAsia="zh-CN"/>
        </w:rPr>
      </w:pPr>
      <w:bookmarkStart w:id="14" w:name="_Toc5766"/>
      <w:r>
        <w:rPr>
          <w:rFonts w:hint="eastAsia" w:ascii="Arial" w:hAnsi="Arial" w:eastAsia="宋体" w:cs="Arial"/>
          <w:b/>
          <w:bCs/>
          <w:color w:val="auto"/>
          <w:sz w:val="28"/>
          <w:szCs w:val="28"/>
          <w:lang w:val="en-US" w:eastAsia="zh-CN"/>
        </w:rPr>
        <w:t>数据中心服务</w:t>
      </w:r>
      <w:bookmarkEnd w:id="14"/>
    </w:p>
    <w:tbl>
      <w:tblPr>
        <w:tblStyle w:val="16"/>
        <w:tblW w:w="511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4"/>
        <w:gridCol w:w="1311"/>
        <w:gridCol w:w="60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trPr>
        <w:tc>
          <w:tcPr>
            <w:tcW w:w="748" w:type="pct"/>
            <w:noWrap w:val="0"/>
            <w:vAlign w:val="center"/>
          </w:tcPr>
          <w:p>
            <w:pPr>
              <w:widowControl/>
              <w:spacing w:line="276" w:lineRule="auto"/>
              <w:jc w:val="left"/>
              <w:rPr>
                <w:rFonts w:ascii="宋体" w:hAnsi="宋体" w:eastAsia="宋体" w:cs="宋体"/>
                <w:b/>
                <w:bCs/>
                <w:color w:val="auto"/>
                <w:kern w:val="0"/>
                <w:sz w:val="24"/>
                <w:szCs w:val="24"/>
              </w:rPr>
            </w:pPr>
            <w:r>
              <w:rPr>
                <w:rFonts w:hint="eastAsia" w:ascii="宋体" w:hAnsi="宋体" w:eastAsia="宋体" w:cs="宋体"/>
                <w:b/>
                <w:bCs/>
                <w:color w:val="auto"/>
                <w:kern w:val="0"/>
                <w:sz w:val="24"/>
                <w:szCs w:val="24"/>
              </w:rPr>
              <w:t>功能模块</w:t>
            </w:r>
          </w:p>
        </w:tc>
        <w:tc>
          <w:tcPr>
            <w:tcW w:w="752" w:type="pct"/>
            <w:noWrap w:val="0"/>
            <w:vAlign w:val="center"/>
          </w:tcPr>
          <w:p>
            <w:pPr>
              <w:widowControl/>
              <w:spacing w:line="276" w:lineRule="auto"/>
              <w:jc w:val="center"/>
              <w:rPr>
                <w:rFonts w:ascii="宋体" w:hAnsi="宋体" w:eastAsia="宋体" w:cs="宋体"/>
                <w:b/>
                <w:bCs/>
                <w:color w:val="auto"/>
                <w:kern w:val="0"/>
                <w:sz w:val="24"/>
                <w:szCs w:val="24"/>
              </w:rPr>
            </w:pPr>
            <w:r>
              <w:rPr>
                <w:rFonts w:hint="eastAsia" w:ascii="宋体" w:hAnsi="宋体" w:eastAsia="宋体" w:cs="宋体"/>
                <w:b/>
                <w:bCs/>
                <w:color w:val="auto"/>
                <w:kern w:val="0"/>
                <w:sz w:val="24"/>
                <w:szCs w:val="24"/>
              </w:rPr>
              <w:t>模块描述</w:t>
            </w:r>
          </w:p>
        </w:tc>
        <w:tc>
          <w:tcPr>
            <w:tcW w:w="3498" w:type="pct"/>
            <w:noWrap w:val="0"/>
            <w:vAlign w:val="center"/>
          </w:tcPr>
          <w:p>
            <w:pPr>
              <w:widowControl/>
              <w:spacing w:line="276" w:lineRule="auto"/>
              <w:jc w:val="center"/>
              <w:rPr>
                <w:rFonts w:ascii="宋体" w:hAnsi="宋体" w:eastAsia="宋体" w:cs="宋体"/>
                <w:b/>
                <w:bCs/>
                <w:color w:val="auto"/>
                <w:kern w:val="0"/>
                <w:sz w:val="24"/>
                <w:szCs w:val="24"/>
              </w:rPr>
            </w:pPr>
            <w:r>
              <w:rPr>
                <w:rFonts w:hint="eastAsia" w:ascii="宋体" w:hAnsi="宋体" w:eastAsia="宋体" w:cs="宋体"/>
                <w:b/>
                <w:bCs/>
                <w:color w:val="auto"/>
                <w:kern w:val="0"/>
                <w:sz w:val="24"/>
                <w:szCs w:val="24"/>
              </w:rPr>
              <w:t>功能说明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48" w:type="pct"/>
            <w:noWrap w:val="0"/>
            <w:vAlign w:val="center"/>
          </w:tcPr>
          <w:p>
            <w:pPr>
              <w:widowControl/>
              <w:spacing w:line="276" w:lineRule="auto"/>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rPr>
              <w:t>数据配置</w:t>
            </w:r>
            <w:r>
              <w:rPr>
                <w:rFonts w:hint="eastAsia" w:ascii="宋体" w:hAnsi="宋体" w:cs="宋体"/>
                <w:color w:val="auto"/>
                <w:kern w:val="0"/>
                <w:sz w:val="24"/>
                <w:szCs w:val="24"/>
                <w:lang w:val="en-US" w:eastAsia="zh-CN"/>
              </w:rPr>
              <w:t>服务</w:t>
            </w:r>
          </w:p>
        </w:tc>
        <w:tc>
          <w:tcPr>
            <w:tcW w:w="752" w:type="pct"/>
            <w:noWrap w:val="0"/>
            <w:vAlign w:val="center"/>
          </w:tcPr>
          <w:p>
            <w:pPr>
              <w:widowControl/>
              <w:spacing w:line="276" w:lineRule="auto"/>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对各种异构数据源类型通过可视化的方式配置接入</w:t>
            </w:r>
          </w:p>
        </w:tc>
        <w:tc>
          <w:tcPr>
            <w:tcW w:w="3498" w:type="pct"/>
            <w:noWrap w:val="0"/>
            <w:vAlign w:val="center"/>
          </w:tcPr>
          <w:p>
            <w:pPr>
              <w:widowControl/>
              <w:spacing w:line="276" w:lineRule="auto"/>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★1.支持多种数据源接入包含Oracle、SqlServer、MySql、GP,Cache，支持Oracle集群模式接入；</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rPr>
              <w:t>2.支持DB接入和WebService接入方式；</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rPr>
              <w:t>3.DB接入全程可视化配置，只需要简单勾选需要同步的表即可完成数据接入任务的创建；</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rPr>
              <w:t>4.支持表创建、注释、主键一键式同步；</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rPr>
              <w:t>5.支持对数据源的全量同步和增量同步；</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rPr>
              <w:t>6.支持WebService接入增量全量同步方式；</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rPr>
              <w:t>7.支持对XML、XML&lt;Json&gt;解析，支持属性提取；</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rPr>
              <w:t>8.支持按单个病人、时间区间获取数据，支持自定义请求头、请求体；</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rPr>
              <w:t>9.支持发布接入数据接入方式（通过WebService主动推送数据）；</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rPr>
              <w:t>10.支持文件格式的数据同步，根据文件信息自动创建实体表。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48" w:type="pct"/>
            <w:noWrap w:val="0"/>
            <w:vAlign w:val="center"/>
          </w:tcPr>
          <w:p>
            <w:pPr>
              <w:widowControl/>
              <w:spacing w:line="276" w:lineRule="auto"/>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项目管理</w:t>
            </w:r>
            <w:r>
              <w:rPr>
                <w:rFonts w:hint="eastAsia" w:ascii="宋体" w:hAnsi="宋体" w:cs="宋体"/>
                <w:color w:val="auto"/>
                <w:kern w:val="0"/>
                <w:sz w:val="24"/>
                <w:szCs w:val="24"/>
                <w:lang w:val="en-US" w:eastAsia="zh-CN"/>
              </w:rPr>
              <w:t>服务</w:t>
            </w:r>
          </w:p>
        </w:tc>
        <w:tc>
          <w:tcPr>
            <w:tcW w:w="752" w:type="pct"/>
            <w:noWrap w:val="0"/>
            <w:vAlign w:val="center"/>
          </w:tcPr>
          <w:p>
            <w:pPr>
              <w:widowControl/>
              <w:spacing w:line="276" w:lineRule="auto"/>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实现工作流自助开发，并支持对工作流的导入导出</w:t>
            </w:r>
          </w:p>
        </w:tc>
        <w:tc>
          <w:tcPr>
            <w:tcW w:w="3498" w:type="pct"/>
            <w:noWrap w:val="0"/>
            <w:vAlign w:val="center"/>
          </w:tcPr>
          <w:p>
            <w:pPr>
              <w:widowControl/>
              <w:spacing w:line="276" w:lineRule="auto"/>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1.同时支持数据接入和数据模型项目的定义；</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rPr>
              <w:t>2.图形化操作通过拖拉、连接的方式即可完成工作流的定义；</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rPr>
              <w:t>3.支持丰富的组件库包含SQL、Spark、Python、Http节点组件，底层基于大数据组件完成同步任务；</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rPr>
              <w:t>4.支持多任务同时执行不小于5个；</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rPr>
              <w:t>5.在800M内存限制的条件下同步速度在每秒钟1万条以上；</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rPr>
              <w:t>6.支持异常任务报警短信提醒（医院提供短信猫支持）；</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rPr>
              <w:t>7.支持可视化自定义任务执行频率配置；</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rPr>
              <w:t>8.支持预览最近任务执行时间；</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rPr>
              <w:t>9.支持任务通知策略自定义；</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rPr>
              <w:t>10.支持工作流任务的导入导出；</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rPr>
              <w:t>11.支持任务重试；</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rPr>
              <w:t>12.支持任务日志实时查看；</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rPr>
              <w:t>13.支持任务失败自动重试。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48" w:type="pct"/>
            <w:noWrap w:val="0"/>
            <w:vAlign w:val="center"/>
          </w:tcPr>
          <w:p>
            <w:pPr>
              <w:widowControl/>
              <w:spacing w:line="276" w:lineRule="auto"/>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资源中心</w:t>
            </w:r>
            <w:r>
              <w:rPr>
                <w:rFonts w:hint="eastAsia" w:ascii="宋体" w:hAnsi="宋体" w:cs="宋体"/>
                <w:color w:val="auto"/>
                <w:kern w:val="0"/>
                <w:sz w:val="24"/>
                <w:szCs w:val="24"/>
                <w:lang w:val="en-US" w:eastAsia="zh-CN"/>
              </w:rPr>
              <w:t>服务</w:t>
            </w:r>
          </w:p>
        </w:tc>
        <w:tc>
          <w:tcPr>
            <w:tcW w:w="752" w:type="pct"/>
            <w:noWrap w:val="0"/>
            <w:vAlign w:val="center"/>
          </w:tcPr>
          <w:p>
            <w:pPr>
              <w:widowControl/>
              <w:spacing w:line="276" w:lineRule="auto"/>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文件管理</w:t>
            </w:r>
          </w:p>
        </w:tc>
        <w:tc>
          <w:tcPr>
            <w:tcW w:w="3498" w:type="pct"/>
            <w:noWrap w:val="0"/>
            <w:vAlign w:val="center"/>
          </w:tcPr>
          <w:p>
            <w:pPr>
              <w:widowControl/>
              <w:spacing w:line="276" w:lineRule="auto"/>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1.支持对任务资源信息查看；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48" w:type="pct"/>
            <w:noWrap w:val="0"/>
            <w:vAlign w:val="center"/>
          </w:tcPr>
          <w:p>
            <w:pPr>
              <w:widowControl/>
              <w:spacing w:line="276" w:lineRule="auto"/>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监控中心</w:t>
            </w:r>
            <w:r>
              <w:rPr>
                <w:rFonts w:hint="eastAsia" w:ascii="宋体" w:hAnsi="宋体" w:cs="宋体"/>
                <w:color w:val="auto"/>
                <w:kern w:val="0"/>
                <w:sz w:val="24"/>
                <w:szCs w:val="24"/>
                <w:lang w:val="en-US" w:eastAsia="zh-CN"/>
              </w:rPr>
              <w:t>服务</w:t>
            </w:r>
          </w:p>
        </w:tc>
        <w:tc>
          <w:tcPr>
            <w:tcW w:w="752" w:type="pct"/>
            <w:noWrap w:val="0"/>
            <w:vAlign w:val="center"/>
          </w:tcPr>
          <w:p>
            <w:pPr>
              <w:widowControl/>
              <w:spacing w:line="276" w:lineRule="auto"/>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对各资源服务进行监控和管理，并进行常规方式的统计</w:t>
            </w:r>
          </w:p>
        </w:tc>
        <w:tc>
          <w:tcPr>
            <w:tcW w:w="3498" w:type="pct"/>
            <w:noWrap w:val="0"/>
            <w:vAlign w:val="center"/>
          </w:tcPr>
          <w:p>
            <w:pPr>
              <w:widowControl/>
              <w:spacing w:line="276" w:lineRule="auto"/>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1.支持系统连接池使用情况统计并展示；</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rPr>
              <w:t>2.支持监控数据中心的内存和CPU使用情况；</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rPr>
              <w:t>3.支持对所使用的的中间件如zookeeper服务的连接数、发送接收量等相关指标监控；</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rPr>
              <w:t>4.支持对数据库健康状态，连接数的监控；</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rPr>
              <w:t>5.支持对任务执行情况包含待执行的命令数、执行失败的命令数、待运行任务数、待杀死任务数统计并展示；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48" w:type="pct"/>
            <w:noWrap w:val="0"/>
            <w:vAlign w:val="center"/>
          </w:tcPr>
          <w:p>
            <w:pPr>
              <w:widowControl/>
              <w:spacing w:line="276" w:lineRule="auto"/>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配置中心</w:t>
            </w:r>
            <w:r>
              <w:rPr>
                <w:rFonts w:hint="eastAsia" w:ascii="宋体" w:hAnsi="宋体" w:cs="宋体"/>
                <w:color w:val="auto"/>
                <w:kern w:val="0"/>
                <w:sz w:val="24"/>
                <w:szCs w:val="24"/>
                <w:lang w:val="en-US" w:eastAsia="zh-CN"/>
              </w:rPr>
              <w:t>服务</w:t>
            </w:r>
          </w:p>
        </w:tc>
        <w:tc>
          <w:tcPr>
            <w:tcW w:w="752" w:type="pct"/>
            <w:noWrap w:val="0"/>
            <w:vAlign w:val="center"/>
          </w:tcPr>
          <w:p>
            <w:pPr>
              <w:widowControl/>
              <w:spacing w:line="276" w:lineRule="auto"/>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监控配置</w:t>
            </w:r>
          </w:p>
        </w:tc>
        <w:tc>
          <w:tcPr>
            <w:tcW w:w="3498" w:type="pct"/>
            <w:noWrap w:val="0"/>
            <w:vAlign w:val="center"/>
          </w:tcPr>
          <w:p>
            <w:pPr>
              <w:widowControl/>
              <w:spacing w:line="276" w:lineRule="auto"/>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1.支持对监控规则自定义定时时间；</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rPr>
              <w:t>2.支持监控结果短信发送（医院提供短信猫支持）；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48" w:type="pct"/>
            <w:noWrap w:val="0"/>
            <w:vAlign w:val="center"/>
          </w:tcPr>
          <w:p>
            <w:pPr>
              <w:widowControl/>
              <w:spacing w:line="276" w:lineRule="auto"/>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数据质量</w:t>
            </w:r>
            <w:r>
              <w:rPr>
                <w:rFonts w:hint="eastAsia" w:ascii="宋体" w:hAnsi="宋体" w:cs="宋体"/>
                <w:color w:val="auto"/>
                <w:kern w:val="0"/>
                <w:sz w:val="24"/>
                <w:szCs w:val="24"/>
                <w:lang w:val="en-US" w:eastAsia="zh-CN"/>
              </w:rPr>
              <w:t>服务</w:t>
            </w:r>
          </w:p>
        </w:tc>
        <w:tc>
          <w:tcPr>
            <w:tcW w:w="752" w:type="pct"/>
            <w:noWrap w:val="0"/>
            <w:vAlign w:val="center"/>
          </w:tcPr>
          <w:p>
            <w:pPr>
              <w:widowControl/>
              <w:spacing w:line="276" w:lineRule="auto"/>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数据稽核</w:t>
            </w:r>
          </w:p>
        </w:tc>
        <w:tc>
          <w:tcPr>
            <w:tcW w:w="3498" w:type="pct"/>
            <w:noWrap w:val="0"/>
            <w:vAlign w:val="center"/>
          </w:tcPr>
          <w:p>
            <w:pPr>
              <w:widowControl/>
              <w:spacing w:line="276" w:lineRule="auto"/>
              <w:jc w:val="left"/>
              <w:rPr>
                <w:rFonts w:ascii="宋体" w:hAnsi="宋体" w:eastAsia="宋体" w:cs="宋体"/>
                <w:color w:val="auto"/>
                <w:kern w:val="0"/>
                <w:sz w:val="24"/>
                <w:szCs w:val="24"/>
              </w:rPr>
            </w:pPr>
            <w:r>
              <w:rPr>
                <w:rFonts w:hint="eastAsia" w:ascii="宋体" w:hAnsi="宋体" w:eastAsia="宋体" w:cs="宋体"/>
                <w:color w:val="auto"/>
                <w:kern w:val="0"/>
                <w:sz w:val="24"/>
                <w:szCs w:val="24"/>
              </w:rPr>
              <w:t>1.支持对表数据进行自定义监控；</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rPr>
              <w:t>2.支持模板规则的配置；</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rPr>
              <w:t>3.支持规则的批量导出导出；</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rPr>
              <w:t>4.支持规则自定义时间执行；</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rPr>
              <w:t>5.支持质量报告实时生成；</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rPr>
              <w:t>6.支持质检分数实时查询；</w:t>
            </w:r>
            <w:r>
              <w:rPr>
                <w:rFonts w:hint="eastAsia" w:ascii="宋体" w:hAnsi="宋体" w:eastAsia="宋体" w:cs="宋体"/>
                <w:color w:val="auto"/>
                <w:kern w:val="0"/>
                <w:sz w:val="24"/>
                <w:szCs w:val="24"/>
              </w:rPr>
              <w:br w:type="textWrapping"/>
            </w:r>
            <w:r>
              <w:rPr>
                <w:rFonts w:hint="eastAsia" w:ascii="宋体" w:hAnsi="宋体" w:eastAsia="宋体" w:cs="宋体"/>
                <w:color w:val="auto"/>
                <w:kern w:val="0"/>
                <w:sz w:val="24"/>
                <w:szCs w:val="24"/>
              </w:rPr>
              <w:t>7.支持自定义稽核异常说明；</w:t>
            </w:r>
          </w:p>
        </w:tc>
      </w:tr>
    </w:tbl>
    <w:p>
      <w:pPr>
        <w:rPr>
          <w:rFonts w:hint="default" w:ascii="Arial" w:hAnsi="Arial" w:cs="Arial"/>
          <w:b/>
          <w:bCs/>
          <w:color w:val="auto"/>
          <w:sz w:val="32"/>
          <w:szCs w:val="32"/>
        </w:rPr>
      </w:pPr>
      <w:r>
        <w:rPr>
          <w:rFonts w:hint="eastAsia" w:cs="Arial"/>
          <w:b/>
          <w:bCs/>
          <w:color w:val="auto"/>
          <w:sz w:val="32"/>
          <w:szCs w:val="32"/>
          <w:lang w:val="en-US" w:eastAsia="zh-CN"/>
        </w:rPr>
        <w:br w:type="page"/>
      </w:r>
    </w:p>
    <w:p>
      <w:pPr>
        <w:keepNext w:val="0"/>
        <w:keepLines w:val="0"/>
        <w:pageBreakBefore w:val="0"/>
        <w:widowControl w:val="0"/>
        <w:numPr>
          <w:ilvl w:val="2"/>
          <w:numId w:val="2"/>
        </w:numPr>
        <w:kinsoku/>
        <w:wordWrap/>
        <w:overflowPunct/>
        <w:topLinePunct w:val="0"/>
        <w:autoSpaceDE/>
        <w:autoSpaceDN/>
        <w:bidi w:val="0"/>
        <w:adjustRightInd/>
        <w:snapToGrid/>
        <w:spacing w:line="360" w:lineRule="auto"/>
        <w:ind w:left="709" w:leftChars="0" w:hanging="709" w:firstLineChars="0"/>
        <w:textAlignment w:val="auto"/>
        <w:outlineLvl w:val="2"/>
        <w:rPr>
          <w:rFonts w:hint="default" w:ascii="Arial" w:hAnsi="Arial" w:eastAsia="宋体" w:cs="Arial"/>
          <w:b/>
          <w:bCs/>
          <w:color w:val="auto"/>
          <w:sz w:val="28"/>
          <w:szCs w:val="28"/>
          <w:lang w:val="en-US" w:eastAsia="zh-CN"/>
        </w:rPr>
      </w:pPr>
      <w:bookmarkStart w:id="15" w:name="_Toc1412"/>
      <w:r>
        <w:rPr>
          <w:rFonts w:hint="eastAsia" w:ascii="Arial" w:hAnsi="Arial" w:eastAsia="宋体" w:cs="Arial"/>
          <w:b/>
          <w:bCs/>
          <w:color w:val="auto"/>
          <w:sz w:val="28"/>
          <w:szCs w:val="28"/>
          <w:lang w:val="en-US" w:eastAsia="zh-CN"/>
        </w:rPr>
        <w:t>医保DRG医院智慧运营管理服务</w:t>
      </w:r>
      <w:bookmarkEnd w:id="15"/>
    </w:p>
    <w:tbl>
      <w:tblPr>
        <w:tblStyle w:val="16"/>
        <w:tblW w:w="9162" w:type="dxa"/>
        <w:tblInd w:w="-431" w:type="dxa"/>
        <w:tblLayout w:type="autofit"/>
        <w:tblCellMar>
          <w:top w:w="0" w:type="dxa"/>
          <w:left w:w="108" w:type="dxa"/>
          <w:bottom w:w="0" w:type="dxa"/>
          <w:right w:w="108" w:type="dxa"/>
        </w:tblCellMar>
      </w:tblPr>
      <w:tblGrid>
        <w:gridCol w:w="704"/>
        <w:gridCol w:w="856"/>
        <w:gridCol w:w="1285"/>
        <w:gridCol w:w="6317"/>
      </w:tblGrid>
      <w:tr>
        <w:tblPrEx>
          <w:tblCellMar>
            <w:top w:w="0" w:type="dxa"/>
            <w:left w:w="108" w:type="dxa"/>
            <w:bottom w:w="0" w:type="dxa"/>
            <w:right w:w="108" w:type="dxa"/>
          </w:tblCellMar>
        </w:tblPrEx>
        <w:trPr>
          <w:tblHeader/>
        </w:trPr>
        <w:tc>
          <w:tcPr>
            <w:tcW w:w="7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b/>
                <w:bCs/>
                <w:color w:val="auto"/>
                <w:kern w:val="0"/>
                <w:sz w:val="24"/>
                <w:szCs w:val="24"/>
                <w14:ligatures w14:val="none"/>
              </w:rPr>
            </w:pPr>
            <w:bookmarkStart w:id="16" w:name="_Hlk148601236"/>
            <w:r>
              <w:rPr>
                <w:rFonts w:hint="eastAsia" w:ascii="宋体" w:hAnsi="宋体" w:eastAsia="宋体" w:cs="宋体"/>
                <w:b/>
                <w:bCs/>
                <w:color w:val="auto"/>
                <w:kern w:val="0"/>
                <w:sz w:val="24"/>
                <w:szCs w:val="24"/>
                <w14:ligatures w14:val="none"/>
              </w:rPr>
              <w:t>大类</w:t>
            </w:r>
          </w:p>
        </w:tc>
        <w:tc>
          <w:tcPr>
            <w:tcW w:w="85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auto"/>
                <w:kern w:val="0"/>
                <w:sz w:val="24"/>
                <w:szCs w:val="24"/>
                <w14:ligatures w14:val="none"/>
              </w:rPr>
            </w:pPr>
            <w:r>
              <w:rPr>
                <w:rFonts w:hint="eastAsia" w:ascii="宋体" w:hAnsi="宋体" w:eastAsia="宋体" w:cs="宋体"/>
                <w:b/>
                <w:bCs/>
                <w:color w:val="auto"/>
                <w:kern w:val="0"/>
                <w:sz w:val="24"/>
                <w:szCs w:val="24"/>
                <w14:ligatures w14:val="none"/>
              </w:rPr>
              <w:t>模块</w:t>
            </w:r>
          </w:p>
        </w:tc>
        <w:tc>
          <w:tcPr>
            <w:tcW w:w="128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bCs/>
                <w:color w:val="auto"/>
                <w:kern w:val="0"/>
                <w:sz w:val="24"/>
                <w:szCs w:val="24"/>
                <w:lang w:eastAsia="zh-CN"/>
                <w14:ligatures w14:val="none"/>
              </w:rPr>
            </w:pPr>
            <w:r>
              <w:rPr>
                <w:rFonts w:hint="eastAsia" w:ascii="宋体" w:hAnsi="宋体" w:cs="宋体"/>
                <w:b/>
                <w:bCs/>
                <w:color w:val="auto"/>
                <w:kern w:val="0"/>
                <w:sz w:val="24"/>
                <w:szCs w:val="24"/>
                <w:lang w:val="en-US" w:eastAsia="zh-CN"/>
                <w14:ligatures w14:val="none"/>
              </w:rPr>
              <w:t>功能点</w:t>
            </w:r>
          </w:p>
        </w:tc>
        <w:tc>
          <w:tcPr>
            <w:tcW w:w="631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b/>
                <w:bCs/>
                <w:color w:val="auto"/>
                <w:kern w:val="0"/>
                <w:sz w:val="24"/>
                <w:szCs w:val="24"/>
                <w14:ligatures w14:val="none"/>
              </w:rPr>
            </w:pPr>
            <w:r>
              <w:rPr>
                <w:rFonts w:hint="eastAsia" w:ascii="宋体" w:hAnsi="宋体" w:eastAsia="宋体" w:cs="宋体"/>
                <w:b/>
                <w:bCs/>
                <w:color w:val="auto"/>
                <w:kern w:val="0"/>
                <w:sz w:val="24"/>
                <w:szCs w:val="24"/>
                <w14:ligatures w14:val="none"/>
              </w:rPr>
              <w:t>详细参数</w:t>
            </w:r>
          </w:p>
        </w:tc>
      </w:tr>
      <w:tr>
        <w:tblPrEx>
          <w:tblCellMar>
            <w:top w:w="0" w:type="dxa"/>
            <w:left w:w="108" w:type="dxa"/>
            <w:bottom w:w="0" w:type="dxa"/>
            <w:right w:w="108" w:type="dxa"/>
          </w:tblCellMar>
        </w:tblPrEx>
        <w:tc>
          <w:tcPr>
            <w:tcW w:w="704"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76" w:lineRule="auto"/>
              <w:jc w:val="center"/>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在院管理</w:t>
            </w:r>
            <w:r>
              <w:rPr>
                <w:rFonts w:hint="eastAsia" w:ascii="宋体" w:hAnsi="宋体" w:cs="宋体"/>
                <w:color w:val="auto"/>
                <w:kern w:val="0"/>
                <w:sz w:val="24"/>
                <w:szCs w:val="24"/>
                <w:lang w:val="en-US" w:eastAsia="zh-CN"/>
              </w:rPr>
              <w:t>服务</w:t>
            </w:r>
          </w:p>
        </w:tc>
        <w:tc>
          <w:tcPr>
            <w:tcW w:w="2141"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276" w:lineRule="auto"/>
              <w:jc w:val="center"/>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医生助手（在院DRG分组监测接口）</w:t>
            </w:r>
          </w:p>
        </w:tc>
        <w:tc>
          <w:tcPr>
            <w:tcW w:w="6317"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1) 提供全院病例DRG分组预测与预警信息，包括费用异常预警、病历质控预警、不合理入院预警，预警条件支持自定义设置；</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2) 提供病例当前实时DRG预测分组信息，以及住院费用进度条，直观了解费用消耗情况；</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3) 支持查看患者基本信息、诊断、手术，以及历史住院的DRG分组与诊断/手术信息；</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4) 支持在院期间查看各个费用结构及费用标杆值，并能下钻查看各费用项目明细，包括药品、耗材、检查检验等；</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5) 支持大数据模拟分组，通过调整主诊断、次诊断、主手术、次手术进行模拟分组，对中医分组支持主病主症模拟分组；</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6) 支持病例按多种结算方式进行预测对比，包括床日结算、病组结算、中医结算，并优先展示结算金额最高的结算方式；</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7) 支持手动选择任意患者按照床日结算类型进行预测；</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8) 支持输入主诊断后，智能推荐相匹配的常用手术；</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9) ★支持按照地区医保结算规则进行适配，包括新技术、特殊药品耗材追加、基础病组同病同价等。</w:t>
            </w:r>
          </w:p>
        </w:tc>
      </w:tr>
      <w:tr>
        <w:tblPrEx>
          <w:tblCellMar>
            <w:top w:w="0" w:type="dxa"/>
            <w:left w:w="108" w:type="dxa"/>
            <w:bottom w:w="0" w:type="dxa"/>
            <w:right w:w="108" w:type="dxa"/>
          </w:tblCellMar>
        </w:tblPrEx>
        <w:tc>
          <w:tcPr>
            <w:tcW w:w="704" w:type="dxa"/>
            <w:vMerge w:val="continue"/>
            <w:tcBorders>
              <w:top w:val="nil"/>
              <w:left w:val="single" w:color="auto" w:sz="4" w:space="0"/>
              <w:bottom w:val="single" w:color="auto" w:sz="4" w:space="0"/>
              <w:right w:val="single" w:color="auto" w:sz="4" w:space="0"/>
            </w:tcBorders>
            <w:vAlign w:val="center"/>
          </w:tcPr>
          <w:p>
            <w:pPr>
              <w:widowControl/>
              <w:spacing w:line="276" w:lineRule="auto"/>
              <w:jc w:val="left"/>
              <w:rPr>
                <w:rFonts w:ascii="宋体" w:hAnsi="宋体" w:eastAsia="宋体" w:cs="宋体"/>
                <w:color w:val="auto"/>
                <w:kern w:val="0"/>
                <w:sz w:val="24"/>
                <w:szCs w:val="24"/>
                <w14:ligatures w14:val="none"/>
              </w:rPr>
            </w:pPr>
          </w:p>
        </w:tc>
        <w:tc>
          <w:tcPr>
            <w:tcW w:w="856"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76" w:lineRule="auto"/>
              <w:jc w:val="center"/>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事中监测分析</w:t>
            </w:r>
          </w:p>
        </w:tc>
        <w:tc>
          <w:tcPr>
            <w:tcW w:w="1285"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在院监测</w:t>
            </w:r>
          </w:p>
        </w:tc>
        <w:tc>
          <w:tcPr>
            <w:tcW w:w="6317"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[病例范围：当前在院患者]</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1) 提供全院病例DRG分组预测与预警信息，包括费用异常预警、病历质控预警、不合理入院预警，预警条件支持自定义设置；</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2) 提供病例当前实时DRG预测分组信息，以及住院费用进度条，直观了解费用消耗情况；</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3) 支持查看患者基本信息、诊断、手术，以及历史住院的DRG分组与诊断/手术信息；</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4) 支持在院期间查看各个费用结构及费用标杆值，并能下钻查看各费用项目明细，包括药品、耗材、检查检验等；</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5) 支持多种筛选条件查找数据：包括结算方式（床日结算、病组结算）、病例类型（高倍率、低倍率、正常病例等）、医保类型等；</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6) 支持筛选特殊病例：包括15天再入院、基础病组、中途出院结算、住院天数超高、24小时出入院、新技术病例等；</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7) 支持按姓名、住院号、患者ID、床位号等搜索病例；</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8) 支持从科室、医疗组、病区、医生等维度查看预警病例；</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9) 列表字段支持用户自定义显示与排列，包含表头字段是否显示以及固定列设置，支持列表所有数据下载；</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10) 支持大数据模拟分组，通过调整主诊断、次诊断、主手术、次手术进行模拟分组，对中医分组支持主病主症模拟分组；</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11) 支持病例按多种结算方式进行预测对比，包括床日结算、病组结算、中医结算，并优先展示结算金额最高的结算方式；</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12) 支持手动选择任意患者按照床日结算类型进行预测；</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13) 支持按照地区医保结算规则进行适配，包括新技术、特殊药品耗材追加、基础病组同病同价等。</w:t>
            </w:r>
          </w:p>
        </w:tc>
      </w:tr>
      <w:tr>
        <w:tblPrEx>
          <w:tblCellMar>
            <w:top w:w="0" w:type="dxa"/>
            <w:left w:w="108" w:type="dxa"/>
            <w:bottom w:w="0" w:type="dxa"/>
            <w:right w:w="108" w:type="dxa"/>
          </w:tblCellMar>
        </w:tblPrEx>
        <w:tc>
          <w:tcPr>
            <w:tcW w:w="704" w:type="dxa"/>
            <w:vMerge w:val="continue"/>
            <w:tcBorders>
              <w:top w:val="nil"/>
              <w:left w:val="single" w:color="auto" w:sz="4" w:space="0"/>
              <w:bottom w:val="single" w:color="auto" w:sz="4" w:space="0"/>
              <w:right w:val="single" w:color="auto" w:sz="4" w:space="0"/>
            </w:tcBorders>
            <w:vAlign w:val="center"/>
          </w:tcPr>
          <w:p>
            <w:pPr>
              <w:widowControl/>
              <w:spacing w:line="276" w:lineRule="auto"/>
              <w:jc w:val="left"/>
              <w:rPr>
                <w:rFonts w:ascii="宋体" w:hAnsi="宋体" w:eastAsia="宋体" w:cs="宋体"/>
                <w:color w:val="auto"/>
                <w:kern w:val="0"/>
                <w:sz w:val="24"/>
                <w:szCs w:val="24"/>
                <w14:ligatures w14:val="none"/>
              </w:rPr>
            </w:pPr>
          </w:p>
        </w:tc>
        <w:tc>
          <w:tcPr>
            <w:tcW w:w="856" w:type="dxa"/>
            <w:vMerge w:val="continue"/>
            <w:tcBorders>
              <w:top w:val="nil"/>
              <w:left w:val="single" w:color="auto" w:sz="4" w:space="0"/>
              <w:bottom w:val="single" w:color="auto" w:sz="4" w:space="0"/>
              <w:right w:val="single" w:color="auto" w:sz="4" w:space="0"/>
            </w:tcBorders>
            <w:vAlign w:val="center"/>
          </w:tcPr>
          <w:p>
            <w:pPr>
              <w:widowControl/>
              <w:spacing w:line="276" w:lineRule="auto"/>
              <w:jc w:val="left"/>
              <w:rPr>
                <w:rFonts w:ascii="宋体" w:hAnsi="宋体" w:eastAsia="宋体" w:cs="宋体"/>
                <w:color w:val="auto"/>
                <w:kern w:val="0"/>
                <w:sz w:val="24"/>
                <w:szCs w:val="24"/>
                <w14:ligatures w14:val="none"/>
              </w:rPr>
            </w:pPr>
          </w:p>
        </w:tc>
        <w:tc>
          <w:tcPr>
            <w:tcW w:w="1285"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提交前病例监测</w:t>
            </w:r>
          </w:p>
        </w:tc>
        <w:tc>
          <w:tcPr>
            <w:tcW w:w="6317"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[病例范围：出院但未将病历提交病案室归档的病例]</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1) 提供全院病例DRG分组预测与预警信息，包括费用异常预警、病历质控预警、不合理入院预警，预警条件支持自定义设置；</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2) 提供病例当前实时DRG预测分组信息，以及住院费用进度条，直观了解费用消耗情况；</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3) 支持查看患者基本信息、诊断、手术，以及历史住院的DRG分组与诊断/手术信息；</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4) 支持在院期间查看各个费用结构及费用标杆值，并能下钻查看各费用项目明细，包括药品、耗材、检查检验等；</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5) 支持多种筛选条件查找数据：包括结算方式（床日结算、病组结算）、病例类型（高倍率、低倍率、正常病例等）、医保类型等；</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6) 支持筛选特殊病例：包括15天再入院、基础病组、中途出院结算、住院天数超高、24小时出入院、新技术病例等；</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7) 支持按姓名、住院号、患者ID、床位号等搜索病例；</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8) 支持从科室、医疗组、病区、医生等维度查看预警病例；</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9) 列表字段支持用户自定义显示与排列，包含表头字段是否显示以及固定列设置，支持列表所有数据下载；</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10) 支持大数据模拟分组，通过调整主诊断、次诊断、主手术、次手术进行模拟分组，对中医分组支持主病主症模拟分组；</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11) 支持病例按多种结算方式进行预测对比，包括床日结算、病组结算、中医结算，并优先展示结算金额最高的结算方式；</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12) 支持手动选择任意患者按照床日结算类型进行预测；</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13) 支持按照地区医保结算规则进行适配，包括新技术、特殊药品耗材追加、基础病组同病同价等。</w:t>
            </w:r>
          </w:p>
        </w:tc>
      </w:tr>
      <w:tr>
        <w:tblPrEx>
          <w:tblCellMar>
            <w:top w:w="0" w:type="dxa"/>
            <w:left w:w="108" w:type="dxa"/>
            <w:bottom w:w="0" w:type="dxa"/>
            <w:right w:w="108" w:type="dxa"/>
          </w:tblCellMar>
        </w:tblPrEx>
        <w:tc>
          <w:tcPr>
            <w:tcW w:w="704" w:type="dxa"/>
            <w:vMerge w:val="continue"/>
            <w:tcBorders>
              <w:top w:val="nil"/>
              <w:left w:val="single" w:color="auto" w:sz="4" w:space="0"/>
              <w:bottom w:val="single" w:color="auto" w:sz="4" w:space="0"/>
              <w:right w:val="single" w:color="auto" w:sz="4" w:space="0"/>
            </w:tcBorders>
            <w:vAlign w:val="center"/>
          </w:tcPr>
          <w:p>
            <w:pPr>
              <w:widowControl/>
              <w:spacing w:line="276" w:lineRule="auto"/>
              <w:jc w:val="left"/>
              <w:rPr>
                <w:rFonts w:ascii="宋体" w:hAnsi="宋体" w:eastAsia="宋体" w:cs="宋体"/>
                <w:color w:val="auto"/>
                <w:kern w:val="0"/>
                <w:sz w:val="24"/>
                <w:szCs w:val="24"/>
                <w14:ligatures w14:val="none"/>
              </w:rPr>
            </w:pPr>
          </w:p>
        </w:tc>
        <w:tc>
          <w:tcPr>
            <w:tcW w:w="856" w:type="dxa"/>
            <w:vMerge w:val="continue"/>
            <w:tcBorders>
              <w:top w:val="nil"/>
              <w:left w:val="single" w:color="auto" w:sz="4" w:space="0"/>
              <w:bottom w:val="single" w:color="auto" w:sz="4" w:space="0"/>
              <w:right w:val="single" w:color="auto" w:sz="4" w:space="0"/>
            </w:tcBorders>
            <w:vAlign w:val="center"/>
          </w:tcPr>
          <w:p>
            <w:pPr>
              <w:widowControl/>
              <w:spacing w:line="276" w:lineRule="auto"/>
              <w:jc w:val="left"/>
              <w:rPr>
                <w:rFonts w:ascii="宋体" w:hAnsi="宋体" w:eastAsia="宋体" w:cs="宋体"/>
                <w:color w:val="auto"/>
                <w:kern w:val="0"/>
                <w:sz w:val="24"/>
                <w:szCs w:val="24"/>
                <w14:ligatures w14:val="none"/>
              </w:rPr>
            </w:pPr>
          </w:p>
        </w:tc>
        <w:tc>
          <w:tcPr>
            <w:tcW w:w="1285"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已提交病例分析</w:t>
            </w:r>
          </w:p>
        </w:tc>
        <w:tc>
          <w:tcPr>
            <w:tcW w:w="6317"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[病例范围：出院已提交病案归档，但未与医保局结算的病例]</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1) 支持对比查看临床与病案编码后病例的诊断、手术、DRG分组数据，并对不一致数据进行颜色标记；</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2) 支持多种筛选条件查找数据：包括结算方式（床日结算、病组结算）、病例类型（高倍率、低倍率、正常病例等）、医保类型等；</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3) 支持筛选特殊病例：包括15天再入院、基础病组、中途出院结算、住院天数超高、24小时出入院、新技术病例等；</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4) 支持按姓名、住院号、患者ID、床位号等搜索病例；</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5) 列表字段支持用户自定义显示与排列，包含表头字段是否显示以及固定列设置，支持列表所有数据下载；</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6) 支持大数据模拟分组，通过调整主诊断、次诊断、主手术、次手术进行模拟分组，对中医分组支持主病主症模拟分组；</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7) 支持病例按多种结算方式进行预测对比，包括床日结算、病组结算、中医结算，并优先展示结算金额最高的结算方式。</w:t>
            </w:r>
          </w:p>
        </w:tc>
      </w:tr>
      <w:tr>
        <w:tblPrEx>
          <w:tblCellMar>
            <w:top w:w="0" w:type="dxa"/>
            <w:left w:w="108" w:type="dxa"/>
            <w:bottom w:w="0" w:type="dxa"/>
            <w:right w:w="108" w:type="dxa"/>
          </w:tblCellMar>
        </w:tblPrEx>
        <w:tc>
          <w:tcPr>
            <w:tcW w:w="704"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76" w:lineRule="auto"/>
              <w:jc w:val="center"/>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DRG运营分析</w:t>
            </w:r>
            <w:r>
              <w:rPr>
                <w:rFonts w:hint="eastAsia" w:ascii="宋体" w:hAnsi="宋体" w:cs="宋体"/>
                <w:color w:val="auto"/>
                <w:kern w:val="0"/>
                <w:sz w:val="24"/>
                <w:szCs w:val="24"/>
                <w:lang w:val="en-US" w:eastAsia="zh-CN"/>
              </w:rPr>
              <w:t>服务</w:t>
            </w:r>
          </w:p>
        </w:tc>
        <w:tc>
          <w:tcPr>
            <w:tcW w:w="856"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76" w:lineRule="auto"/>
              <w:jc w:val="center"/>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DRG驾驶舱</w:t>
            </w:r>
          </w:p>
        </w:tc>
        <w:tc>
          <w:tcPr>
            <w:tcW w:w="1285"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医院DRG整体情况</w:t>
            </w:r>
          </w:p>
        </w:tc>
        <w:tc>
          <w:tcPr>
            <w:tcW w:w="6317"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展示筛选时间段内全院病例数、总结余、CMI、病组数等DRG核心数据，所有统计图均支持放大和下载。</w:t>
            </w:r>
          </w:p>
        </w:tc>
      </w:tr>
      <w:tr>
        <w:tblPrEx>
          <w:tblCellMar>
            <w:top w:w="0" w:type="dxa"/>
            <w:left w:w="108" w:type="dxa"/>
            <w:bottom w:w="0" w:type="dxa"/>
            <w:right w:w="108" w:type="dxa"/>
          </w:tblCellMar>
        </w:tblPrEx>
        <w:tc>
          <w:tcPr>
            <w:tcW w:w="704" w:type="dxa"/>
            <w:vMerge w:val="continue"/>
            <w:tcBorders>
              <w:top w:val="nil"/>
              <w:left w:val="single" w:color="auto" w:sz="4" w:space="0"/>
              <w:bottom w:val="single" w:color="auto" w:sz="4" w:space="0"/>
              <w:right w:val="single" w:color="auto" w:sz="4" w:space="0"/>
            </w:tcBorders>
            <w:vAlign w:val="center"/>
          </w:tcPr>
          <w:p>
            <w:pPr>
              <w:widowControl/>
              <w:spacing w:line="276" w:lineRule="auto"/>
              <w:jc w:val="left"/>
              <w:rPr>
                <w:rFonts w:ascii="宋体" w:hAnsi="宋体" w:eastAsia="宋体" w:cs="宋体"/>
                <w:color w:val="auto"/>
                <w:kern w:val="0"/>
                <w:sz w:val="24"/>
                <w:szCs w:val="24"/>
                <w14:ligatures w14:val="none"/>
              </w:rPr>
            </w:pPr>
          </w:p>
        </w:tc>
        <w:tc>
          <w:tcPr>
            <w:tcW w:w="856" w:type="dxa"/>
            <w:vMerge w:val="continue"/>
            <w:tcBorders>
              <w:top w:val="nil"/>
              <w:left w:val="single" w:color="auto" w:sz="4" w:space="0"/>
              <w:bottom w:val="single" w:color="auto" w:sz="4" w:space="0"/>
              <w:right w:val="single" w:color="auto" w:sz="4" w:space="0"/>
            </w:tcBorders>
            <w:vAlign w:val="center"/>
          </w:tcPr>
          <w:p>
            <w:pPr>
              <w:widowControl/>
              <w:spacing w:line="276" w:lineRule="auto"/>
              <w:jc w:val="left"/>
              <w:rPr>
                <w:rFonts w:ascii="宋体" w:hAnsi="宋体" w:eastAsia="宋体" w:cs="宋体"/>
                <w:color w:val="auto"/>
                <w:kern w:val="0"/>
                <w:sz w:val="24"/>
                <w:szCs w:val="24"/>
                <w14:ligatures w14:val="none"/>
              </w:rPr>
            </w:pPr>
          </w:p>
        </w:tc>
        <w:tc>
          <w:tcPr>
            <w:tcW w:w="1285"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全院超支结余分析</w:t>
            </w:r>
          </w:p>
        </w:tc>
        <w:tc>
          <w:tcPr>
            <w:tcW w:w="6317"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展示筛选时间段内的超支结余趋势、超支结余科室分布、病例类型分布、高低倍率病例占比趋势，支持下钻。</w:t>
            </w:r>
          </w:p>
        </w:tc>
      </w:tr>
      <w:tr>
        <w:tblPrEx>
          <w:tblCellMar>
            <w:top w:w="0" w:type="dxa"/>
            <w:left w:w="108" w:type="dxa"/>
            <w:bottom w:w="0" w:type="dxa"/>
            <w:right w:w="108" w:type="dxa"/>
          </w:tblCellMar>
        </w:tblPrEx>
        <w:tc>
          <w:tcPr>
            <w:tcW w:w="704" w:type="dxa"/>
            <w:vMerge w:val="continue"/>
            <w:tcBorders>
              <w:top w:val="nil"/>
              <w:left w:val="single" w:color="auto" w:sz="4" w:space="0"/>
              <w:bottom w:val="single" w:color="auto" w:sz="4" w:space="0"/>
              <w:right w:val="single" w:color="auto" w:sz="4" w:space="0"/>
            </w:tcBorders>
            <w:vAlign w:val="center"/>
          </w:tcPr>
          <w:p>
            <w:pPr>
              <w:widowControl/>
              <w:spacing w:line="276" w:lineRule="auto"/>
              <w:jc w:val="left"/>
              <w:rPr>
                <w:rFonts w:ascii="宋体" w:hAnsi="宋体" w:eastAsia="宋体" w:cs="宋体"/>
                <w:color w:val="auto"/>
                <w:kern w:val="0"/>
                <w:sz w:val="24"/>
                <w:szCs w:val="24"/>
                <w14:ligatures w14:val="none"/>
              </w:rPr>
            </w:pPr>
          </w:p>
        </w:tc>
        <w:tc>
          <w:tcPr>
            <w:tcW w:w="856" w:type="dxa"/>
            <w:vMerge w:val="continue"/>
            <w:tcBorders>
              <w:top w:val="nil"/>
              <w:left w:val="single" w:color="auto" w:sz="4" w:space="0"/>
              <w:bottom w:val="single" w:color="auto" w:sz="4" w:space="0"/>
              <w:right w:val="single" w:color="auto" w:sz="4" w:space="0"/>
            </w:tcBorders>
            <w:vAlign w:val="center"/>
          </w:tcPr>
          <w:p>
            <w:pPr>
              <w:widowControl/>
              <w:spacing w:line="276" w:lineRule="auto"/>
              <w:jc w:val="left"/>
              <w:rPr>
                <w:rFonts w:ascii="宋体" w:hAnsi="宋体" w:eastAsia="宋体" w:cs="宋体"/>
                <w:color w:val="auto"/>
                <w:kern w:val="0"/>
                <w:sz w:val="24"/>
                <w:szCs w:val="24"/>
                <w14:ligatures w14:val="none"/>
              </w:rPr>
            </w:pPr>
          </w:p>
        </w:tc>
        <w:tc>
          <w:tcPr>
            <w:tcW w:w="1285"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全院费用构成分析</w:t>
            </w:r>
          </w:p>
        </w:tc>
        <w:tc>
          <w:tcPr>
            <w:tcW w:w="6317"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展示筛选时间段内各费用类型的金额及占比、药占比、耗占比、检查检验占比、医疗服务占比趋势，支持按病例类型选择统计范围。</w:t>
            </w:r>
          </w:p>
        </w:tc>
      </w:tr>
      <w:tr>
        <w:tblPrEx>
          <w:tblCellMar>
            <w:top w:w="0" w:type="dxa"/>
            <w:left w:w="108" w:type="dxa"/>
            <w:bottom w:w="0" w:type="dxa"/>
            <w:right w:w="108" w:type="dxa"/>
          </w:tblCellMar>
        </w:tblPrEx>
        <w:tc>
          <w:tcPr>
            <w:tcW w:w="704" w:type="dxa"/>
            <w:vMerge w:val="continue"/>
            <w:tcBorders>
              <w:top w:val="nil"/>
              <w:left w:val="single" w:color="auto" w:sz="4" w:space="0"/>
              <w:bottom w:val="single" w:color="auto" w:sz="4" w:space="0"/>
              <w:right w:val="single" w:color="auto" w:sz="4" w:space="0"/>
            </w:tcBorders>
            <w:vAlign w:val="center"/>
          </w:tcPr>
          <w:p>
            <w:pPr>
              <w:widowControl/>
              <w:spacing w:line="276" w:lineRule="auto"/>
              <w:jc w:val="left"/>
              <w:rPr>
                <w:rFonts w:ascii="宋体" w:hAnsi="宋体" w:eastAsia="宋体" w:cs="宋体"/>
                <w:color w:val="auto"/>
                <w:kern w:val="0"/>
                <w:sz w:val="24"/>
                <w:szCs w:val="24"/>
                <w14:ligatures w14:val="none"/>
              </w:rPr>
            </w:pPr>
          </w:p>
        </w:tc>
        <w:tc>
          <w:tcPr>
            <w:tcW w:w="856" w:type="dxa"/>
            <w:vMerge w:val="continue"/>
            <w:tcBorders>
              <w:top w:val="nil"/>
              <w:left w:val="single" w:color="auto" w:sz="4" w:space="0"/>
              <w:bottom w:val="single" w:color="auto" w:sz="4" w:space="0"/>
              <w:right w:val="single" w:color="auto" w:sz="4" w:space="0"/>
            </w:tcBorders>
            <w:vAlign w:val="center"/>
          </w:tcPr>
          <w:p>
            <w:pPr>
              <w:widowControl/>
              <w:spacing w:line="276" w:lineRule="auto"/>
              <w:jc w:val="left"/>
              <w:rPr>
                <w:rFonts w:ascii="宋体" w:hAnsi="宋体" w:eastAsia="宋体" w:cs="宋体"/>
                <w:color w:val="auto"/>
                <w:kern w:val="0"/>
                <w:sz w:val="24"/>
                <w:szCs w:val="24"/>
                <w14:ligatures w14:val="none"/>
              </w:rPr>
            </w:pPr>
          </w:p>
        </w:tc>
        <w:tc>
          <w:tcPr>
            <w:tcW w:w="1285"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全院资源使用效率分析</w:t>
            </w:r>
          </w:p>
        </w:tc>
        <w:tc>
          <w:tcPr>
            <w:tcW w:w="6317"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展示筛选时间段内次均费用、次均点数与平均住院日趋势，支持与去年同期比较。</w:t>
            </w:r>
          </w:p>
        </w:tc>
      </w:tr>
      <w:tr>
        <w:tblPrEx>
          <w:tblCellMar>
            <w:top w:w="0" w:type="dxa"/>
            <w:left w:w="108" w:type="dxa"/>
            <w:bottom w:w="0" w:type="dxa"/>
            <w:right w:w="108" w:type="dxa"/>
          </w:tblCellMar>
        </w:tblPrEx>
        <w:tc>
          <w:tcPr>
            <w:tcW w:w="704" w:type="dxa"/>
            <w:vMerge w:val="continue"/>
            <w:tcBorders>
              <w:top w:val="nil"/>
              <w:left w:val="single" w:color="auto" w:sz="4" w:space="0"/>
              <w:bottom w:val="single" w:color="auto" w:sz="4" w:space="0"/>
              <w:right w:val="single" w:color="auto" w:sz="4" w:space="0"/>
            </w:tcBorders>
            <w:vAlign w:val="center"/>
          </w:tcPr>
          <w:p>
            <w:pPr>
              <w:widowControl/>
              <w:spacing w:line="276" w:lineRule="auto"/>
              <w:jc w:val="left"/>
              <w:rPr>
                <w:rFonts w:ascii="宋体" w:hAnsi="宋体" w:eastAsia="宋体" w:cs="宋体"/>
                <w:color w:val="auto"/>
                <w:kern w:val="0"/>
                <w:sz w:val="24"/>
                <w:szCs w:val="24"/>
                <w14:ligatures w14:val="none"/>
              </w:rPr>
            </w:pPr>
          </w:p>
        </w:tc>
        <w:tc>
          <w:tcPr>
            <w:tcW w:w="856" w:type="dxa"/>
            <w:vMerge w:val="continue"/>
            <w:tcBorders>
              <w:top w:val="nil"/>
              <w:left w:val="single" w:color="auto" w:sz="4" w:space="0"/>
              <w:bottom w:val="single" w:color="auto" w:sz="4" w:space="0"/>
              <w:right w:val="single" w:color="auto" w:sz="4" w:space="0"/>
            </w:tcBorders>
            <w:vAlign w:val="center"/>
          </w:tcPr>
          <w:p>
            <w:pPr>
              <w:widowControl/>
              <w:spacing w:line="276" w:lineRule="auto"/>
              <w:jc w:val="left"/>
              <w:rPr>
                <w:rFonts w:ascii="宋体" w:hAnsi="宋体" w:eastAsia="宋体" w:cs="宋体"/>
                <w:color w:val="auto"/>
                <w:kern w:val="0"/>
                <w:sz w:val="24"/>
                <w:szCs w:val="24"/>
                <w14:ligatures w14:val="none"/>
              </w:rPr>
            </w:pPr>
          </w:p>
        </w:tc>
        <w:tc>
          <w:tcPr>
            <w:tcW w:w="1285"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全院病组构成分析</w:t>
            </w:r>
          </w:p>
        </w:tc>
        <w:tc>
          <w:tcPr>
            <w:tcW w:w="6317"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★展示筛选时间段内CMI趋势，各RW区间病组分布情况，RW区间支持自定义调整和下钻。</w:t>
            </w:r>
          </w:p>
        </w:tc>
      </w:tr>
      <w:tr>
        <w:tblPrEx>
          <w:tblCellMar>
            <w:top w:w="0" w:type="dxa"/>
            <w:left w:w="108" w:type="dxa"/>
            <w:bottom w:w="0" w:type="dxa"/>
            <w:right w:w="108" w:type="dxa"/>
          </w:tblCellMar>
        </w:tblPrEx>
        <w:tc>
          <w:tcPr>
            <w:tcW w:w="704" w:type="dxa"/>
            <w:vMerge w:val="continue"/>
            <w:tcBorders>
              <w:top w:val="nil"/>
              <w:left w:val="single" w:color="auto" w:sz="4" w:space="0"/>
              <w:bottom w:val="single" w:color="auto" w:sz="4" w:space="0"/>
              <w:right w:val="single" w:color="auto" w:sz="4" w:space="0"/>
            </w:tcBorders>
            <w:vAlign w:val="center"/>
          </w:tcPr>
          <w:p>
            <w:pPr>
              <w:widowControl/>
              <w:spacing w:line="276" w:lineRule="auto"/>
              <w:jc w:val="left"/>
              <w:rPr>
                <w:rFonts w:ascii="宋体" w:hAnsi="宋体" w:eastAsia="宋体" w:cs="宋体"/>
                <w:color w:val="auto"/>
                <w:kern w:val="0"/>
                <w:sz w:val="24"/>
                <w:szCs w:val="24"/>
                <w14:ligatures w14:val="none"/>
              </w:rPr>
            </w:pPr>
          </w:p>
        </w:tc>
        <w:tc>
          <w:tcPr>
            <w:tcW w:w="856"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76" w:lineRule="auto"/>
              <w:jc w:val="center"/>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科室综合分析</w:t>
            </w:r>
          </w:p>
        </w:tc>
        <w:tc>
          <w:tcPr>
            <w:tcW w:w="1285"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bookmarkStart w:id="17" w:name="RANGE!C12"/>
            <w:r>
              <w:rPr>
                <w:rFonts w:hint="eastAsia" w:ascii="宋体" w:hAnsi="宋体" w:eastAsia="宋体" w:cs="宋体"/>
                <w:color w:val="auto"/>
                <w:kern w:val="0"/>
                <w:sz w:val="24"/>
                <w:szCs w:val="24"/>
                <w14:ligatures w14:val="none"/>
              </w:rPr>
              <w:t>科室对比分析</w:t>
            </w:r>
            <w:bookmarkEnd w:id="17"/>
          </w:p>
        </w:tc>
        <w:tc>
          <w:tcPr>
            <w:tcW w:w="6317"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1) 展示科室病例数、结余、病组数、CMI、入组率、药耗占比等相关指标数据对比，支持数据下钻；</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2) 提供按主题进行分析，包括运行指标监控、超支结余、费用构成、出院带药、不合理入院五大主题；</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3) 支持年/季/月筛选和自定义时间区间、病例范围、超支/结余科室筛选；</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4) 支持根据不同用户设置重点关注科室，并能够快速筛选和查看重点科室数据；</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5) ★支持运行目标与标杆数据对比，其中标杆数据根据历史数据自动生成，支持自定义修改标杆值，支持快速筛选超标科室；</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6) 支持二级科室管理，可以按照出院科室、管理科室分布查看和统计数据；</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7) 列表字段支持用户自定义显示与排列，包含表头字段是否显示以及固定列设置，支持查看指标同比，列表数据下载。</w:t>
            </w:r>
          </w:p>
        </w:tc>
      </w:tr>
      <w:tr>
        <w:tblPrEx>
          <w:tblCellMar>
            <w:top w:w="0" w:type="dxa"/>
            <w:left w:w="108" w:type="dxa"/>
            <w:bottom w:w="0" w:type="dxa"/>
            <w:right w:w="108" w:type="dxa"/>
          </w:tblCellMar>
        </w:tblPrEx>
        <w:tc>
          <w:tcPr>
            <w:tcW w:w="704" w:type="dxa"/>
            <w:vMerge w:val="continue"/>
            <w:tcBorders>
              <w:top w:val="nil"/>
              <w:left w:val="single" w:color="auto" w:sz="4" w:space="0"/>
              <w:bottom w:val="single" w:color="auto" w:sz="4" w:space="0"/>
              <w:right w:val="single" w:color="auto" w:sz="4" w:space="0"/>
            </w:tcBorders>
            <w:vAlign w:val="center"/>
          </w:tcPr>
          <w:p>
            <w:pPr>
              <w:widowControl/>
              <w:spacing w:line="276" w:lineRule="auto"/>
              <w:jc w:val="left"/>
              <w:rPr>
                <w:rFonts w:ascii="宋体" w:hAnsi="宋体" w:eastAsia="宋体" w:cs="宋体"/>
                <w:color w:val="auto"/>
                <w:kern w:val="0"/>
                <w:sz w:val="24"/>
                <w:szCs w:val="24"/>
                <w14:ligatures w14:val="none"/>
              </w:rPr>
            </w:pPr>
          </w:p>
        </w:tc>
        <w:tc>
          <w:tcPr>
            <w:tcW w:w="856" w:type="dxa"/>
            <w:vMerge w:val="continue"/>
            <w:tcBorders>
              <w:top w:val="nil"/>
              <w:left w:val="single" w:color="auto" w:sz="4" w:space="0"/>
              <w:bottom w:val="single" w:color="auto" w:sz="4" w:space="0"/>
              <w:right w:val="single" w:color="auto" w:sz="4" w:space="0"/>
            </w:tcBorders>
            <w:vAlign w:val="center"/>
          </w:tcPr>
          <w:p>
            <w:pPr>
              <w:widowControl/>
              <w:spacing w:line="276" w:lineRule="auto"/>
              <w:jc w:val="left"/>
              <w:rPr>
                <w:rFonts w:ascii="宋体" w:hAnsi="宋体" w:eastAsia="宋体" w:cs="宋体"/>
                <w:color w:val="auto"/>
                <w:kern w:val="0"/>
                <w:sz w:val="24"/>
                <w:szCs w:val="24"/>
                <w14:ligatures w14:val="none"/>
              </w:rPr>
            </w:pPr>
          </w:p>
        </w:tc>
        <w:tc>
          <w:tcPr>
            <w:tcW w:w="1285"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科室主页（科室下钻分析）</w:t>
            </w:r>
          </w:p>
        </w:tc>
        <w:tc>
          <w:tcPr>
            <w:tcW w:w="6317"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[单科室下DRG运营数据统计分析]</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1) 总览：支持科室多选，展示科室所选时间段内DRG核心数据概览，包含病例数、CMI、结余、药耗占比、人头人次比、N天再入院、病组构成、平均住院日等；</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2) 超支结余分析：展示科室超支结余/次均结余趋势、超支结余病组分布及趋势、超支结余病例分布及趋势、病例类型分布、高低倍率病例占比趋势；支持下钻；</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3) 费用构成分析：展示科室在各个费用类型的金额及占比，药耗占比趋势，支持按病例类型选择统计范围；</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4) 病组构成分析：通过矩阵象限，分析科室优势病组、劣势病组；支持数据对比与下钻，对不同象限的病组提供分析结论；</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5) 资源使用效率分析：展示科室平均住院日趋势、次均费用趋势、时间消耗指数、费用消耗指数，支持与去年次均费用对比；</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6) 病历质量分析：展示科室编码前后分组不一致病例数趋势、点数差趋势、结余差趋势；</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7) 病组列表：同科室下不同病组DRG运营数据对比，支持下载；</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8) 医疗组列表：同科室下不同医疗组DRG运营数据对比，支持下载；</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9) 医生列表：同科室下不同医生DRG运营数据对比，支持下载；</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10) 病例列表：展示科室所选时间段内所有病例数据，支持按医疗组、病组、医生筛选、查看病例详情、模拟分组，支持表格数据下载。</w:t>
            </w:r>
          </w:p>
        </w:tc>
      </w:tr>
      <w:tr>
        <w:tblPrEx>
          <w:tblCellMar>
            <w:top w:w="0" w:type="dxa"/>
            <w:left w:w="108" w:type="dxa"/>
            <w:bottom w:w="0" w:type="dxa"/>
            <w:right w:w="108" w:type="dxa"/>
          </w:tblCellMar>
        </w:tblPrEx>
        <w:tc>
          <w:tcPr>
            <w:tcW w:w="704" w:type="dxa"/>
            <w:vMerge w:val="continue"/>
            <w:tcBorders>
              <w:top w:val="nil"/>
              <w:left w:val="single" w:color="auto" w:sz="4" w:space="0"/>
              <w:bottom w:val="single" w:color="auto" w:sz="4" w:space="0"/>
              <w:right w:val="single" w:color="auto" w:sz="4" w:space="0"/>
            </w:tcBorders>
            <w:vAlign w:val="center"/>
          </w:tcPr>
          <w:p>
            <w:pPr>
              <w:widowControl/>
              <w:spacing w:line="276" w:lineRule="auto"/>
              <w:jc w:val="left"/>
              <w:rPr>
                <w:rFonts w:ascii="宋体" w:hAnsi="宋体" w:eastAsia="宋体" w:cs="宋体"/>
                <w:color w:val="auto"/>
                <w:kern w:val="0"/>
                <w:sz w:val="24"/>
                <w:szCs w:val="24"/>
                <w14:ligatures w14:val="none"/>
              </w:rPr>
            </w:pPr>
          </w:p>
        </w:tc>
        <w:tc>
          <w:tcPr>
            <w:tcW w:w="856"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76" w:lineRule="auto"/>
              <w:jc w:val="center"/>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病组综合分析</w:t>
            </w:r>
          </w:p>
        </w:tc>
        <w:tc>
          <w:tcPr>
            <w:tcW w:w="1285"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病组对比分析</w:t>
            </w:r>
          </w:p>
        </w:tc>
        <w:tc>
          <w:tcPr>
            <w:tcW w:w="6317"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1) 展示各DRG病组病例数、结余、RW、药耗占比、时间消耗指数、费用消耗指数等相关指标数据对比，支持下钻；</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2) 支持按主题进行分析，包括运行指标监控、超支结余、费用构成、RW区间分布，其中RW区间支持自定义设置；</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3) 支持年/季/月筛选和自定义时间区间、病例范围、超支/结余科室筛选；</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4) 支持运行目标与标杆数据对比，其中标杆数据根据历史数据自动生成，支持自定义修改标杆值，支持快速筛选超标病组；</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5) 列表字段支持用户自定义显示与排列，包含表头字段是否显示以及固定列设置，支持查看指标同比，列表数据下载；</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6) 支持根据不同用户设置重点关注病组，并能够快速筛选和查看重点病组数据。</w:t>
            </w:r>
          </w:p>
        </w:tc>
      </w:tr>
      <w:tr>
        <w:tblPrEx>
          <w:tblCellMar>
            <w:top w:w="0" w:type="dxa"/>
            <w:left w:w="108" w:type="dxa"/>
            <w:bottom w:w="0" w:type="dxa"/>
            <w:right w:w="108" w:type="dxa"/>
          </w:tblCellMar>
        </w:tblPrEx>
        <w:tc>
          <w:tcPr>
            <w:tcW w:w="704" w:type="dxa"/>
            <w:vMerge w:val="continue"/>
            <w:tcBorders>
              <w:top w:val="nil"/>
              <w:left w:val="single" w:color="auto" w:sz="4" w:space="0"/>
              <w:bottom w:val="single" w:color="auto" w:sz="4" w:space="0"/>
              <w:right w:val="single" w:color="auto" w:sz="4" w:space="0"/>
            </w:tcBorders>
            <w:vAlign w:val="center"/>
          </w:tcPr>
          <w:p>
            <w:pPr>
              <w:widowControl/>
              <w:spacing w:line="276" w:lineRule="auto"/>
              <w:jc w:val="left"/>
              <w:rPr>
                <w:rFonts w:ascii="宋体" w:hAnsi="宋体" w:eastAsia="宋体" w:cs="宋体"/>
                <w:color w:val="auto"/>
                <w:kern w:val="0"/>
                <w:sz w:val="24"/>
                <w:szCs w:val="24"/>
                <w14:ligatures w14:val="none"/>
              </w:rPr>
            </w:pPr>
          </w:p>
        </w:tc>
        <w:tc>
          <w:tcPr>
            <w:tcW w:w="856" w:type="dxa"/>
            <w:vMerge w:val="continue"/>
            <w:tcBorders>
              <w:top w:val="nil"/>
              <w:left w:val="single" w:color="auto" w:sz="4" w:space="0"/>
              <w:bottom w:val="single" w:color="auto" w:sz="4" w:space="0"/>
              <w:right w:val="single" w:color="auto" w:sz="4" w:space="0"/>
            </w:tcBorders>
            <w:vAlign w:val="center"/>
          </w:tcPr>
          <w:p>
            <w:pPr>
              <w:widowControl/>
              <w:spacing w:line="276" w:lineRule="auto"/>
              <w:jc w:val="left"/>
              <w:rPr>
                <w:rFonts w:ascii="宋体" w:hAnsi="宋体" w:eastAsia="宋体" w:cs="宋体"/>
                <w:color w:val="auto"/>
                <w:kern w:val="0"/>
                <w:sz w:val="24"/>
                <w:szCs w:val="24"/>
                <w14:ligatures w14:val="none"/>
              </w:rPr>
            </w:pPr>
          </w:p>
        </w:tc>
        <w:tc>
          <w:tcPr>
            <w:tcW w:w="1285"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病组主页（病组下钻分析）</w:t>
            </w:r>
          </w:p>
        </w:tc>
        <w:tc>
          <w:tcPr>
            <w:tcW w:w="6317"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[单病组下DRG运营数据统计分析]</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1) 总览：支持病组多选，展示病组在所选时间段内DRG核心数据概览，包含总病例数、RW、结余、药耗占比、病组构成、平均住院日等；</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2) 超支结余分析：展示病组超支结余/次均结余趋势、超支结余病例分布及趋势、病例类型分布、高低倍率病例占比趋势；支持下钻；</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3) 费用构成分析：展示病组各个费用类型的金额、占比及超支影响率，药耗占比趋势，支持按病例类型选择统计范围；</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4) 资源使用效率分析：展示病组平均住院日趋势、次均费用趋势、时间消耗指数、费用消耗指数；</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5) 科室列表：同病组下不同科室DRG运营数据对比，支持下载；</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6) 医疗组列表：同病组下不同医疗组DRG运营数据对比，支持下载；</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7) 病例列表：所选病组所选时间段内所有病例数据，支持筛选、查看病例详情、模拟分组、下载。</w:t>
            </w:r>
          </w:p>
        </w:tc>
      </w:tr>
      <w:tr>
        <w:tblPrEx>
          <w:tblCellMar>
            <w:top w:w="0" w:type="dxa"/>
            <w:left w:w="108" w:type="dxa"/>
            <w:bottom w:w="0" w:type="dxa"/>
            <w:right w:w="108" w:type="dxa"/>
          </w:tblCellMar>
        </w:tblPrEx>
        <w:tc>
          <w:tcPr>
            <w:tcW w:w="704" w:type="dxa"/>
            <w:vMerge w:val="continue"/>
            <w:tcBorders>
              <w:top w:val="nil"/>
              <w:left w:val="single" w:color="auto" w:sz="4" w:space="0"/>
              <w:bottom w:val="single" w:color="auto" w:sz="4" w:space="0"/>
              <w:right w:val="single" w:color="auto" w:sz="4" w:space="0"/>
            </w:tcBorders>
            <w:vAlign w:val="center"/>
          </w:tcPr>
          <w:p>
            <w:pPr>
              <w:widowControl/>
              <w:spacing w:line="276" w:lineRule="auto"/>
              <w:jc w:val="left"/>
              <w:rPr>
                <w:rFonts w:ascii="宋体" w:hAnsi="宋体" w:eastAsia="宋体" w:cs="宋体"/>
                <w:color w:val="auto"/>
                <w:kern w:val="0"/>
                <w:sz w:val="24"/>
                <w:szCs w:val="24"/>
                <w14:ligatures w14:val="none"/>
              </w:rPr>
            </w:pPr>
          </w:p>
        </w:tc>
        <w:tc>
          <w:tcPr>
            <w:tcW w:w="856"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76" w:lineRule="auto"/>
              <w:jc w:val="center"/>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医疗组综合分析</w:t>
            </w:r>
          </w:p>
        </w:tc>
        <w:tc>
          <w:tcPr>
            <w:tcW w:w="1285"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医疗组对比分析</w:t>
            </w:r>
          </w:p>
        </w:tc>
        <w:tc>
          <w:tcPr>
            <w:tcW w:w="6317"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1) 展示医疗组病例数、结余、病组数、CMI、入组率、药耗占比等DRG相关指标数据对比，支持数据下钻；</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2) 支持快捷筛选，包括超支医疗组、结余医疗组、环比结余增加、减少等，支持年/季/月筛选和自定义时间区间、病例范围筛选；</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3) 支持根据不同用户设置重点关注科室，并能够快速筛选和查看重点科室数据；</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4) 列表字段支持用户自定义显示与排列，包含表头字段是否显示以及固定列设置，支持查看指标同比，列表数据下载。</w:t>
            </w:r>
          </w:p>
        </w:tc>
      </w:tr>
      <w:tr>
        <w:tblPrEx>
          <w:tblCellMar>
            <w:top w:w="0" w:type="dxa"/>
            <w:left w:w="108" w:type="dxa"/>
            <w:bottom w:w="0" w:type="dxa"/>
            <w:right w:w="108" w:type="dxa"/>
          </w:tblCellMar>
        </w:tblPrEx>
        <w:tc>
          <w:tcPr>
            <w:tcW w:w="704" w:type="dxa"/>
            <w:vMerge w:val="continue"/>
            <w:tcBorders>
              <w:top w:val="nil"/>
              <w:left w:val="single" w:color="auto" w:sz="4" w:space="0"/>
              <w:bottom w:val="single" w:color="auto" w:sz="4" w:space="0"/>
              <w:right w:val="single" w:color="auto" w:sz="4" w:space="0"/>
            </w:tcBorders>
            <w:vAlign w:val="center"/>
          </w:tcPr>
          <w:p>
            <w:pPr>
              <w:widowControl/>
              <w:spacing w:line="276" w:lineRule="auto"/>
              <w:jc w:val="left"/>
              <w:rPr>
                <w:rFonts w:ascii="宋体" w:hAnsi="宋体" w:eastAsia="宋体" w:cs="宋体"/>
                <w:color w:val="auto"/>
                <w:kern w:val="0"/>
                <w:sz w:val="24"/>
                <w:szCs w:val="24"/>
                <w14:ligatures w14:val="none"/>
              </w:rPr>
            </w:pPr>
          </w:p>
        </w:tc>
        <w:tc>
          <w:tcPr>
            <w:tcW w:w="856" w:type="dxa"/>
            <w:vMerge w:val="continue"/>
            <w:tcBorders>
              <w:top w:val="nil"/>
              <w:left w:val="single" w:color="auto" w:sz="4" w:space="0"/>
              <w:bottom w:val="single" w:color="auto" w:sz="4" w:space="0"/>
              <w:right w:val="single" w:color="auto" w:sz="4" w:space="0"/>
            </w:tcBorders>
            <w:vAlign w:val="center"/>
          </w:tcPr>
          <w:p>
            <w:pPr>
              <w:widowControl/>
              <w:spacing w:line="276" w:lineRule="auto"/>
              <w:jc w:val="left"/>
              <w:rPr>
                <w:rFonts w:ascii="宋体" w:hAnsi="宋体" w:eastAsia="宋体" w:cs="宋体"/>
                <w:color w:val="auto"/>
                <w:kern w:val="0"/>
                <w:sz w:val="24"/>
                <w:szCs w:val="24"/>
                <w14:ligatures w14:val="none"/>
              </w:rPr>
            </w:pPr>
          </w:p>
        </w:tc>
        <w:tc>
          <w:tcPr>
            <w:tcW w:w="1285"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医疗组主页（医疗组下钻分析）</w:t>
            </w:r>
          </w:p>
        </w:tc>
        <w:tc>
          <w:tcPr>
            <w:tcW w:w="6317"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[单医疗组下DRG运营数据统计分析]</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1) 总览：支持医疗组多选，展示医疗组在所选时间段内DRG核心数据概览，包含病例数、CMI、总权重、结余、药耗占比、病组构成、平均住院日等；</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2) 超支结余分析：展示医疗组超支结余/次均结余趋势、超支结余病组分布及趋势、超支结余病例分布及趋势、病例类型分布、高低倍率病例占比趋势；支持下钻；</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3) 费用构成分析：展示医疗组各个费用类型的金额及占比，药耗占比趋势，支持按病例类型选择统计范围；</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4) 病组构成分析：通过矩阵象限，分析所选医疗组优势病组、劣势病组；支持数据对比与下钻，对不同象限的病组提供分析结论；</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5) 资源使用效率分析：展示医疗组平均住院日趋势、次均费用趋势、时间消耗指数、费用消耗指数；</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6) 病组列表：同医疗组下不同病组DRG运营数据对比，支持下载；</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7) 医生列表：同医疗组下不同医生DRG运营数据对比，支持下载；</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8) 病例列表：所选医疗组所选时间段内所有病例数据，支持筛选、查看病例详情、模拟分组、下载。</w:t>
            </w:r>
          </w:p>
        </w:tc>
      </w:tr>
      <w:tr>
        <w:tblPrEx>
          <w:tblCellMar>
            <w:top w:w="0" w:type="dxa"/>
            <w:left w:w="108" w:type="dxa"/>
            <w:bottom w:w="0" w:type="dxa"/>
            <w:right w:w="108" w:type="dxa"/>
          </w:tblCellMar>
        </w:tblPrEx>
        <w:tc>
          <w:tcPr>
            <w:tcW w:w="704" w:type="dxa"/>
            <w:vMerge w:val="continue"/>
            <w:tcBorders>
              <w:top w:val="nil"/>
              <w:left w:val="single" w:color="auto" w:sz="4" w:space="0"/>
              <w:bottom w:val="single" w:color="auto" w:sz="4" w:space="0"/>
              <w:right w:val="single" w:color="auto" w:sz="4" w:space="0"/>
            </w:tcBorders>
            <w:vAlign w:val="center"/>
          </w:tcPr>
          <w:p>
            <w:pPr>
              <w:widowControl/>
              <w:spacing w:line="276" w:lineRule="auto"/>
              <w:jc w:val="left"/>
              <w:rPr>
                <w:rFonts w:ascii="宋体" w:hAnsi="宋体" w:eastAsia="宋体" w:cs="宋体"/>
                <w:color w:val="auto"/>
                <w:kern w:val="0"/>
                <w:sz w:val="24"/>
                <w:szCs w:val="24"/>
                <w14:ligatures w14:val="none"/>
              </w:rPr>
            </w:pPr>
          </w:p>
        </w:tc>
        <w:tc>
          <w:tcPr>
            <w:tcW w:w="2141"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276" w:lineRule="auto"/>
              <w:jc w:val="center"/>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医生综合对比分析</w:t>
            </w:r>
          </w:p>
        </w:tc>
        <w:tc>
          <w:tcPr>
            <w:tcW w:w="6317"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1) 展示医生病例数、结余、CMI、次均费用、总点数、人头人次比、病组数、高低倍率病例占比等DRG相关指标数据对比，支持数据下钻；</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2) 支持快捷筛选，包括超支医生、结余医生、环比结余增加、减少、高低倍率病例占比高/低于全院平均等；支持年/季/月筛选和自定义时间区间、病例范围筛选、按医疗组筛选病例；支持模糊搜索医生；</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3) 列表字段支持用户自定义显示与排列，包含表头字段是否显示以及固定列设置，列表数据下载。</w:t>
            </w:r>
          </w:p>
        </w:tc>
      </w:tr>
      <w:tr>
        <w:tblPrEx>
          <w:tblCellMar>
            <w:top w:w="0" w:type="dxa"/>
            <w:left w:w="108" w:type="dxa"/>
            <w:bottom w:w="0" w:type="dxa"/>
            <w:right w:w="108" w:type="dxa"/>
          </w:tblCellMar>
        </w:tblPrEx>
        <w:tc>
          <w:tcPr>
            <w:tcW w:w="704" w:type="dxa"/>
            <w:vMerge w:val="continue"/>
            <w:tcBorders>
              <w:top w:val="nil"/>
              <w:left w:val="single" w:color="auto" w:sz="4" w:space="0"/>
              <w:bottom w:val="single" w:color="auto" w:sz="4" w:space="0"/>
              <w:right w:val="single" w:color="auto" w:sz="4" w:space="0"/>
            </w:tcBorders>
            <w:vAlign w:val="center"/>
          </w:tcPr>
          <w:p>
            <w:pPr>
              <w:widowControl/>
              <w:spacing w:line="276" w:lineRule="auto"/>
              <w:jc w:val="left"/>
              <w:rPr>
                <w:rFonts w:ascii="宋体" w:hAnsi="宋体" w:eastAsia="宋体" w:cs="宋体"/>
                <w:color w:val="auto"/>
                <w:kern w:val="0"/>
                <w:sz w:val="24"/>
                <w:szCs w:val="24"/>
                <w14:ligatures w14:val="none"/>
              </w:rPr>
            </w:pPr>
          </w:p>
        </w:tc>
        <w:tc>
          <w:tcPr>
            <w:tcW w:w="856"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76" w:lineRule="auto"/>
              <w:jc w:val="center"/>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专题分析</w:t>
            </w:r>
          </w:p>
        </w:tc>
        <w:tc>
          <w:tcPr>
            <w:tcW w:w="1285"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费用分摊分析</w:t>
            </w:r>
          </w:p>
        </w:tc>
        <w:tc>
          <w:tcPr>
            <w:tcW w:w="6317"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[根据患者在各临床开单科室产生的费用占比，将DRG结余按比例分摊统计分析]</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1) 展示按出院科室与按费用产生科室结余对比；</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2) 支持查看产生费用分摊病例明细，及病例在各科室的费用情况，支持下载；</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3) 支持按时间、科室、病例范围等筛选，支持表格按不同字段排序。</w:t>
            </w:r>
          </w:p>
        </w:tc>
      </w:tr>
      <w:tr>
        <w:tblPrEx>
          <w:tblCellMar>
            <w:top w:w="0" w:type="dxa"/>
            <w:left w:w="108" w:type="dxa"/>
            <w:bottom w:w="0" w:type="dxa"/>
            <w:right w:w="108" w:type="dxa"/>
          </w:tblCellMar>
        </w:tblPrEx>
        <w:tc>
          <w:tcPr>
            <w:tcW w:w="704" w:type="dxa"/>
            <w:vMerge w:val="continue"/>
            <w:tcBorders>
              <w:top w:val="nil"/>
              <w:left w:val="single" w:color="auto" w:sz="4" w:space="0"/>
              <w:bottom w:val="single" w:color="auto" w:sz="4" w:space="0"/>
              <w:right w:val="single" w:color="auto" w:sz="4" w:space="0"/>
            </w:tcBorders>
            <w:vAlign w:val="center"/>
          </w:tcPr>
          <w:p>
            <w:pPr>
              <w:widowControl/>
              <w:spacing w:line="276" w:lineRule="auto"/>
              <w:jc w:val="left"/>
              <w:rPr>
                <w:rFonts w:ascii="宋体" w:hAnsi="宋体" w:eastAsia="宋体" w:cs="宋体"/>
                <w:color w:val="auto"/>
                <w:kern w:val="0"/>
                <w:sz w:val="24"/>
                <w:szCs w:val="24"/>
                <w14:ligatures w14:val="none"/>
              </w:rPr>
            </w:pPr>
          </w:p>
        </w:tc>
        <w:tc>
          <w:tcPr>
            <w:tcW w:w="856" w:type="dxa"/>
            <w:vMerge w:val="continue"/>
            <w:tcBorders>
              <w:top w:val="nil"/>
              <w:left w:val="single" w:color="auto" w:sz="4" w:space="0"/>
              <w:bottom w:val="single" w:color="auto" w:sz="4" w:space="0"/>
              <w:right w:val="single" w:color="auto" w:sz="4" w:space="0"/>
            </w:tcBorders>
            <w:vAlign w:val="center"/>
          </w:tcPr>
          <w:p>
            <w:pPr>
              <w:widowControl/>
              <w:spacing w:line="276" w:lineRule="auto"/>
              <w:jc w:val="left"/>
              <w:rPr>
                <w:rFonts w:ascii="宋体" w:hAnsi="宋体" w:eastAsia="宋体" w:cs="宋体"/>
                <w:color w:val="auto"/>
                <w:kern w:val="0"/>
                <w:sz w:val="24"/>
                <w:szCs w:val="24"/>
                <w14:ligatures w14:val="none"/>
              </w:rPr>
            </w:pPr>
          </w:p>
        </w:tc>
        <w:tc>
          <w:tcPr>
            <w:tcW w:w="1285"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学科发展分析-学科覆盖度分析</w:t>
            </w:r>
          </w:p>
        </w:tc>
        <w:tc>
          <w:tcPr>
            <w:tcW w:w="6317"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★展示各MDC中医院病组/病例相对地区全部病组的覆盖度、各MDC医院病组/病例占比（覆盖度），以此反映医院学科广度，支持数据下载。</w:t>
            </w:r>
          </w:p>
        </w:tc>
      </w:tr>
      <w:tr>
        <w:tblPrEx>
          <w:tblCellMar>
            <w:top w:w="0" w:type="dxa"/>
            <w:left w:w="108" w:type="dxa"/>
            <w:bottom w:w="0" w:type="dxa"/>
            <w:right w:w="108" w:type="dxa"/>
          </w:tblCellMar>
        </w:tblPrEx>
        <w:tc>
          <w:tcPr>
            <w:tcW w:w="704" w:type="dxa"/>
            <w:vMerge w:val="continue"/>
            <w:tcBorders>
              <w:top w:val="nil"/>
              <w:left w:val="single" w:color="auto" w:sz="4" w:space="0"/>
              <w:bottom w:val="single" w:color="auto" w:sz="4" w:space="0"/>
              <w:right w:val="single" w:color="auto" w:sz="4" w:space="0"/>
            </w:tcBorders>
            <w:vAlign w:val="center"/>
          </w:tcPr>
          <w:p>
            <w:pPr>
              <w:widowControl/>
              <w:spacing w:line="276" w:lineRule="auto"/>
              <w:jc w:val="left"/>
              <w:rPr>
                <w:rFonts w:ascii="宋体" w:hAnsi="宋体" w:eastAsia="宋体" w:cs="宋体"/>
                <w:color w:val="auto"/>
                <w:kern w:val="0"/>
                <w:sz w:val="24"/>
                <w:szCs w:val="24"/>
                <w14:ligatures w14:val="none"/>
              </w:rPr>
            </w:pPr>
          </w:p>
        </w:tc>
        <w:tc>
          <w:tcPr>
            <w:tcW w:w="856" w:type="dxa"/>
            <w:vMerge w:val="continue"/>
            <w:tcBorders>
              <w:top w:val="nil"/>
              <w:left w:val="single" w:color="auto" w:sz="4" w:space="0"/>
              <w:bottom w:val="single" w:color="auto" w:sz="4" w:space="0"/>
              <w:right w:val="single" w:color="auto" w:sz="4" w:space="0"/>
            </w:tcBorders>
            <w:vAlign w:val="center"/>
          </w:tcPr>
          <w:p>
            <w:pPr>
              <w:widowControl/>
              <w:spacing w:line="276" w:lineRule="auto"/>
              <w:jc w:val="left"/>
              <w:rPr>
                <w:rFonts w:ascii="宋体" w:hAnsi="宋体" w:eastAsia="宋体" w:cs="宋体"/>
                <w:color w:val="auto"/>
                <w:kern w:val="0"/>
                <w:sz w:val="24"/>
                <w:szCs w:val="24"/>
                <w14:ligatures w14:val="none"/>
              </w:rPr>
            </w:pPr>
          </w:p>
        </w:tc>
        <w:tc>
          <w:tcPr>
            <w:tcW w:w="1285"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学科发展分析-科室评价</w:t>
            </w:r>
          </w:p>
        </w:tc>
        <w:tc>
          <w:tcPr>
            <w:tcW w:w="6317"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★通过矩阵象限，分析在医保DRG下相对优势的科室、劣势的科室；支持指标组合维度切换、原点自定义；支持数据下钻与下载。</w:t>
            </w:r>
          </w:p>
        </w:tc>
      </w:tr>
      <w:tr>
        <w:tblPrEx>
          <w:tblCellMar>
            <w:top w:w="0" w:type="dxa"/>
            <w:left w:w="108" w:type="dxa"/>
            <w:bottom w:w="0" w:type="dxa"/>
            <w:right w:w="108" w:type="dxa"/>
          </w:tblCellMar>
        </w:tblPrEx>
        <w:tc>
          <w:tcPr>
            <w:tcW w:w="704" w:type="dxa"/>
            <w:vMerge w:val="continue"/>
            <w:tcBorders>
              <w:top w:val="nil"/>
              <w:left w:val="single" w:color="auto" w:sz="4" w:space="0"/>
              <w:bottom w:val="single" w:color="auto" w:sz="4" w:space="0"/>
              <w:right w:val="single" w:color="auto" w:sz="4" w:space="0"/>
            </w:tcBorders>
            <w:vAlign w:val="center"/>
          </w:tcPr>
          <w:p>
            <w:pPr>
              <w:widowControl/>
              <w:spacing w:line="276" w:lineRule="auto"/>
              <w:jc w:val="left"/>
              <w:rPr>
                <w:rFonts w:ascii="宋体" w:hAnsi="宋体" w:eastAsia="宋体" w:cs="宋体"/>
                <w:color w:val="auto"/>
                <w:kern w:val="0"/>
                <w:sz w:val="24"/>
                <w:szCs w:val="24"/>
                <w14:ligatures w14:val="none"/>
              </w:rPr>
            </w:pPr>
          </w:p>
        </w:tc>
        <w:tc>
          <w:tcPr>
            <w:tcW w:w="856" w:type="dxa"/>
            <w:vMerge w:val="continue"/>
            <w:tcBorders>
              <w:top w:val="nil"/>
              <w:left w:val="single" w:color="auto" w:sz="4" w:space="0"/>
              <w:bottom w:val="single" w:color="auto" w:sz="4" w:space="0"/>
              <w:right w:val="single" w:color="auto" w:sz="4" w:space="0"/>
            </w:tcBorders>
            <w:vAlign w:val="center"/>
          </w:tcPr>
          <w:p>
            <w:pPr>
              <w:widowControl/>
              <w:spacing w:line="276" w:lineRule="auto"/>
              <w:jc w:val="left"/>
              <w:rPr>
                <w:rFonts w:ascii="宋体" w:hAnsi="宋体" w:eastAsia="宋体" w:cs="宋体"/>
                <w:color w:val="auto"/>
                <w:kern w:val="0"/>
                <w:sz w:val="24"/>
                <w:szCs w:val="24"/>
                <w14:ligatures w14:val="none"/>
              </w:rPr>
            </w:pPr>
          </w:p>
        </w:tc>
        <w:tc>
          <w:tcPr>
            <w:tcW w:w="1285"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学科发展分析-病组评价</w:t>
            </w:r>
          </w:p>
        </w:tc>
        <w:tc>
          <w:tcPr>
            <w:tcW w:w="6317"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★通过矩阵象限，分析在医保DRG下医院的优势病组、劣势病组；支持指标组合维度切换；支持病组范围自定义，支持数据下钻与下载。</w:t>
            </w:r>
          </w:p>
        </w:tc>
      </w:tr>
      <w:tr>
        <w:tblPrEx>
          <w:tblCellMar>
            <w:top w:w="0" w:type="dxa"/>
            <w:left w:w="108" w:type="dxa"/>
            <w:bottom w:w="0" w:type="dxa"/>
            <w:right w:w="108" w:type="dxa"/>
          </w:tblCellMar>
        </w:tblPrEx>
        <w:tc>
          <w:tcPr>
            <w:tcW w:w="704" w:type="dxa"/>
            <w:vMerge w:val="continue"/>
            <w:tcBorders>
              <w:top w:val="nil"/>
              <w:left w:val="single" w:color="auto" w:sz="4" w:space="0"/>
              <w:bottom w:val="single" w:color="auto" w:sz="4" w:space="0"/>
              <w:right w:val="single" w:color="auto" w:sz="4" w:space="0"/>
            </w:tcBorders>
            <w:vAlign w:val="center"/>
          </w:tcPr>
          <w:p>
            <w:pPr>
              <w:widowControl/>
              <w:spacing w:line="276" w:lineRule="auto"/>
              <w:jc w:val="left"/>
              <w:rPr>
                <w:rFonts w:ascii="宋体" w:hAnsi="宋体" w:eastAsia="宋体" w:cs="宋体"/>
                <w:color w:val="auto"/>
                <w:kern w:val="0"/>
                <w:sz w:val="24"/>
                <w:szCs w:val="24"/>
                <w14:ligatures w14:val="none"/>
              </w:rPr>
            </w:pPr>
          </w:p>
        </w:tc>
        <w:tc>
          <w:tcPr>
            <w:tcW w:w="856" w:type="dxa"/>
            <w:vMerge w:val="continue"/>
            <w:tcBorders>
              <w:top w:val="nil"/>
              <w:left w:val="single" w:color="auto" w:sz="4" w:space="0"/>
              <w:bottom w:val="single" w:color="auto" w:sz="4" w:space="0"/>
              <w:right w:val="single" w:color="auto" w:sz="4" w:space="0"/>
            </w:tcBorders>
            <w:vAlign w:val="center"/>
          </w:tcPr>
          <w:p>
            <w:pPr>
              <w:widowControl/>
              <w:spacing w:line="276" w:lineRule="auto"/>
              <w:jc w:val="left"/>
              <w:rPr>
                <w:rFonts w:ascii="宋体" w:hAnsi="宋体" w:eastAsia="宋体" w:cs="宋体"/>
                <w:color w:val="auto"/>
                <w:kern w:val="0"/>
                <w:sz w:val="24"/>
                <w:szCs w:val="24"/>
                <w14:ligatures w14:val="none"/>
              </w:rPr>
            </w:pPr>
          </w:p>
        </w:tc>
        <w:tc>
          <w:tcPr>
            <w:tcW w:w="1285"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病例性质分析</w:t>
            </w:r>
          </w:p>
        </w:tc>
        <w:tc>
          <w:tcPr>
            <w:tcW w:w="6317"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1) 展示各个统筹区、各个医保类型的病例数量及比例；</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2) 支持按照统筹区、医保类型分析全院及科室的核心指标，包括病例数、医疗总费用、次均费用、结余、平均住院日、CMI、药占比、耗占比、医技占比等；</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3) 支持表格数据排序和下载。</w:t>
            </w:r>
          </w:p>
        </w:tc>
      </w:tr>
      <w:tr>
        <w:tblPrEx>
          <w:tblCellMar>
            <w:top w:w="0" w:type="dxa"/>
            <w:left w:w="108" w:type="dxa"/>
            <w:bottom w:w="0" w:type="dxa"/>
            <w:right w:w="108" w:type="dxa"/>
          </w:tblCellMar>
        </w:tblPrEx>
        <w:tc>
          <w:tcPr>
            <w:tcW w:w="704" w:type="dxa"/>
            <w:vMerge w:val="continue"/>
            <w:tcBorders>
              <w:top w:val="nil"/>
              <w:left w:val="single" w:color="auto" w:sz="4" w:space="0"/>
              <w:bottom w:val="single" w:color="auto" w:sz="4" w:space="0"/>
              <w:right w:val="single" w:color="auto" w:sz="4" w:space="0"/>
            </w:tcBorders>
            <w:vAlign w:val="center"/>
          </w:tcPr>
          <w:p>
            <w:pPr>
              <w:widowControl/>
              <w:spacing w:line="276" w:lineRule="auto"/>
              <w:jc w:val="left"/>
              <w:rPr>
                <w:rFonts w:ascii="宋体" w:hAnsi="宋体" w:eastAsia="宋体" w:cs="宋体"/>
                <w:color w:val="auto"/>
                <w:kern w:val="0"/>
                <w:sz w:val="24"/>
                <w:szCs w:val="24"/>
                <w14:ligatures w14:val="none"/>
              </w:rPr>
            </w:pPr>
          </w:p>
        </w:tc>
        <w:tc>
          <w:tcPr>
            <w:tcW w:w="2141"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276" w:lineRule="auto"/>
              <w:jc w:val="center"/>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病例数据综合查询与下载</w:t>
            </w:r>
          </w:p>
        </w:tc>
        <w:tc>
          <w:tcPr>
            <w:tcW w:w="6317"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1) 展示病例明细数据，支持查看详情，包含DRG分组、诊断/手术、费用占比及明细等信息；</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2) 支持按病例类型、15天再入院、科室、结余范围等条件组合筛选；支持按住院号、患者姓名、病案号、主诊主手等模糊搜索病例；</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3) 支持表格数据排序和筛选，支持15天再入院及其上次关联病例的数据下载；</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4) 支持大数据模拟分组，通过调整主诊断、次诊断、主手术、次手术进行模拟分组；</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5) 支持病例按多种结算方式进行预测对比，包括床日结算、病组结算、中医结算，并优先展示点数最高的结算方式。</w:t>
            </w:r>
          </w:p>
        </w:tc>
      </w:tr>
      <w:tr>
        <w:tblPrEx>
          <w:tblCellMar>
            <w:top w:w="0" w:type="dxa"/>
            <w:left w:w="108" w:type="dxa"/>
            <w:bottom w:w="0" w:type="dxa"/>
            <w:right w:w="108" w:type="dxa"/>
          </w:tblCellMar>
        </w:tblPrEx>
        <w:tc>
          <w:tcPr>
            <w:tcW w:w="704" w:type="dxa"/>
            <w:vMerge w:val="continue"/>
            <w:tcBorders>
              <w:top w:val="nil"/>
              <w:left w:val="single" w:color="auto" w:sz="4" w:space="0"/>
              <w:bottom w:val="single" w:color="auto" w:sz="4" w:space="0"/>
              <w:right w:val="single" w:color="auto" w:sz="4" w:space="0"/>
            </w:tcBorders>
            <w:vAlign w:val="center"/>
          </w:tcPr>
          <w:p>
            <w:pPr>
              <w:widowControl/>
              <w:spacing w:line="276" w:lineRule="auto"/>
              <w:jc w:val="left"/>
              <w:rPr>
                <w:rFonts w:ascii="宋体" w:hAnsi="宋体" w:eastAsia="宋体" w:cs="宋体"/>
                <w:color w:val="auto"/>
                <w:kern w:val="0"/>
                <w:sz w:val="24"/>
                <w:szCs w:val="24"/>
                <w14:ligatures w14:val="none"/>
              </w:rPr>
            </w:pPr>
          </w:p>
        </w:tc>
        <w:tc>
          <w:tcPr>
            <w:tcW w:w="2141"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276" w:lineRule="auto"/>
              <w:jc w:val="center"/>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指标综合查询与下载</w:t>
            </w:r>
          </w:p>
        </w:tc>
        <w:tc>
          <w:tcPr>
            <w:tcW w:w="6317"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1) 提供各个主题的指标下载，包括医疗服务能力、费用控制、DRG结算指标、费用控制等；</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2) 支持指标自定义选择数据范围、时间范围、导出维度（全院/科室/病组等）；</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3) 支持保存指标报表模板，方便同一报表重复下载；</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4) 支持导出DRG系统点击量统计指标，维度支持全院、科室、操作工号。</w:t>
            </w:r>
          </w:p>
        </w:tc>
      </w:tr>
      <w:tr>
        <w:tblPrEx>
          <w:tblCellMar>
            <w:top w:w="0" w:type="dxa"/>
            <w:left w:w="108" w:type="dxa"/>
            <w:bottom w:w="0" w:type="dxa"/>
            <w:right w:w="108" w:type="dxa"/>
          </w:tblCellMar>
        </w:tblPrEx>
        <w:tc>
          <w:tcPr>
            <w:tcW w:w="704" w:type="dxa"/>
            <w:vMerge w:val="restart"/>
            <w:tcBorders>
              <w:top w:val="nil"/>
              <w:left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医保结算管理</w:t>
            </w:r>
            <w:r>
              <w:rPr>
                <w:rFonts w:hint="eastAsia" w:ascii="宋体" w:hAnsi="宋体" w:cs="宋体"/>
                <w:color w:val="auto"/>
                <w:kern w:val="0"/>
                <w:sz w:val="24"/>
                <w:szCs w:val="24"/>
                <w:lang w:val="en-US" w:eastAsia="zh-CN"/>
              </w:rPr>
              <w:t>服务</w:t>
            </w:r>
          </w:p>
        </w:tc>
        <w:tc>
          <w:tcPr>
            <w:tcW w:w="2141"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276" w:lineRule="auto"/>
              <w:jc w:val="center"/>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结算导入管理</w:t>
            </w:r>
          </w:p>
        </w:tc>
        <w:tc>
          <w:tcPr>
            <w:tcW w:w="6317"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1) 支持导入导入医保局下发的月度/年度结算单，支持导入后异常数据的手动处理，导入后系统以导入数据为准进行分析；</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2) 支持根据不同统筹区灵活设置点值；</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3) 支持根据中位数、均值或自定义等方式录入预测点费；</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4) 支持查看不同月份、年份点费差异和对比。</w:t>
            </w:r>
          </w:p>
        </w:tc>
      </w:tr>
      <w:tr>
        <w:tblPrEx>
          <w:tblCellMar>
            <w:top w:w="0" w:type="dxa"/>
            <w:left w:w="108" w:type="dxa"/>
            <w:bottom w:w="0" w:type="dxa"/>
            <w:right w:w="108" w:type="dxa"/>
          </w:tblCellMar>
        </w:tblPrEx>
        <w:tc>
          <w:tcPr>
            <w:tcW w:w="704" w:type="dxa"/>
            <w:vMerge w:val="continue"/>
            <w:tcBorders>
              <w:left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p>
        </w:tc>
        <w:tc>
          <w:tcPr>
            <w:tcW w:w="856"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76" w:lineRule="auto"/>
              <w:jc w:val="center"/>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DRG结算核对</w:t>
            </w:r>
          </w:p>
        </w:tc>
        <w:tc>
          <w:tcPr>
            <w:tcW w:w="1285"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重点病例分组核对</w:t>
            </w:r>
          </w:p>
        </w:tc>
        <w:tc>
          <w:tcPr>
            <w:tcW w:w="6317"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1) 支持按分组不一致、含特殊药品耗材、是否已查阅、院内已申诉、病例类型、特殊结算病例等条件筛选，可快速定位重点病例；</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2) 支持查看病例DRG预分组与医保结算分组对比，支持查看诊断/手术、费用明细、病历文书等数据，用于核对分组，判断是否需要申诉；</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3) 支持大数据模拟分组，通过调整主诊断、次诊断、主手术、次手术进行模拟分组；</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4) 支持按科室统计超支结余，表格字段用户自定义显示与排列，包含表头字段是否显示以及固定列设置，支持列表数据下载；</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5) 提供医保分组与预测分组一致率的统计。</w:t>
            </w:r>
          </w:p>
        </w:tc>
      </w:tr>
      <w:tr>
        <w:tblPrEx>
          <w:tblCellMar>
            <w:top w:w="0" w:type="dxa"/>
            <w:left w:w="108" w:type="dxa"/>
            <w:bottom w:w="0" w:type="dxa"/>
            <w:right w:w="108" w:type="dxa"/>
          </w:tblCellMar>
        </w:tblPrEx>
        <w:tc>
          <w:tcPr>
            <w:tcW w:w="704" w:type="dxa"/>
            <w:vMerge w:val="continue"/>
            <w:tcBorders>
              <w:left w:val="single" w:color="auto" w:sz="4" w:space="0"/>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p>
        </w:tc>
        <w:tc>
          <w:tcPr>
            <w:tcW w:w="856" w:type="dxa"/>
            <w:vMerge w:val="continue"/>
            <w:tcBorders>
              <w:top w:val="nil"/>
              <w:left w:val="single" w:color="auto" w:sz="4" w:space="0"/>
              <w:bottom w:val="single" w:color="auto" w:sz="4" w:space="0"/>
              <w:right w:val="single" w:color="auto" w:sz="4" w:space="0"/>
            </w:tcBorders>
            <w:vAlign w:val="center"/>
          </w:tcPr>
          <w:p>
            <w:pPr>
              <w:widowControl/>
              <w:spacing w:line="276" w:lineRule="auto"/>
              <w:jc w:val="left"/>
              <w:rPr>
                <w:rFonts w:ascii="宋体" w:hAnsi="宋体" w:eastAsia="宋体" w:cs="宋体"/>
                <w:color w:val="auto"/>
                <w:kern w:val="0"/>
                <w:sz w:val="24"/>
                <w:szCs w:val="24"/>
                <w14:ligatures w14:val="none"/>
              </w:rPr>
            </w:pPr>
          </w:p>
        </w:tc>
        <w:tc>
          <w:tcPr>
            <w:tcW w:w="1285"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病例申诉</w:t>
            </w:r>
          </w:p>
        </w:tc>
        <w:tc>
          <w:tcPr>
            <w:tcW w:w="6317"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1) 支持病例申诉流程，支持医生填写申诉资料及上传图片，支持医保办对申诉进行修改、确认操作；</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2) 支持查看与下载病例申诉汇总；</w:t>
            </w:r>
            <w:r>
              <w:rPr>
                <w:rFonts w:hint="eastAsia" w:ascii="宋体" w:hAnsi="宋体" w:eastAsia="宋体" w:cs="宋体"/>
                <w:color w:val="auto"/>
                <w:kern w:val="0"/>
                <w:sz w:val="24"/>
                <w:szCs w:val="24"/>
                <w14:ligatures w14:val="none"/>
              </w:rPr>
              <w:br w:type="textWrapping"/>
            </w:r>
            <w:r>
              <w:rPr>
                <w:rFonts w:hint="eastAsia" w:ascii="宋体" w:hAnsi="宋体" w:eastAsia="宋体" w:cs="宋体"/>
                <w:color w:val="auto"/>
                <w:kern w:val="0"/>
                <w:sz w:val="24"/>
                <w:szCs w:val="24"/>
                <w14:ligatures w14:val="none"/>
              </w:rPr>
              <w:t>3) ★申诉反馈：支持查看申诉前后分组数据对比。</w:t>
            </w:r>
          </w:p>
        </w:tc>
      </w:tr>
      <w:tr>
        <w:tblPrEx>
          <w:tblCellMar>
            <w:top w:w="0" w:type="dxa"/>
            <w:left w:w="108" w:type="dxa"/>
            <w:bottom w:w="0" w:type="dxa"/>
            <w:right w:w="108" w:type="dxa"/>
          </w:tblCellMar>
        </w:tblPrEx>
        <w:tc>
          <w:tcPr>
            <w:tcW w:w="704"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76" w:lineRule="auto"/>
              <w:jc w:val="center"/>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系统管理</w:t>
            </w:r>
            <w:r>
              <w:rPr>
                <w:rFonts w:hint="eastAsia" w:ascii="宋体" w:hAnsi="宋体" w:cs="宋体"/>
                <w:color w:val="auto"/>
                <w:kern w:val="0"/>
                <w:sz w:val="24"/>
                <w:szCs w:val="24"/>
                <w:lang w:val="en-US" w:eastAsia="zh-CN"/>
              </w:rPr>
              <w:t>服务</w:t>
            </w:r>
          </w:p>
        </w:tc>
        <w:tc>
          <w:tcPr>
            <w:tcW w:w="856"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76" w:lineRule="auto"/>
              <w:jc w:val="center"/>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系统设置</w:t>
            </w:r>
          </w:p>
        </w:tc>
        <w:tc>
          <w:tcPr>
            <w:tcW w:w="1285"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费用构成规则设置</w:t>
            </w:r>
          </w:p>
        </w:tc>
        <w:tc>
          <w:tcPr>
            <w:tcW w:w="6317"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支持自定义设置费用分类，系统根据该分类进行费用相关指标的统计和分析。</w:t>
            </w:r>
          </w:p>
        </w:tc>
      </w:tr>
      <w:tr>
        <w:tblPrEx>
          <w:tblCellMar>
            <w:top w:w="0" w:type="dxa"/>
            <w:left w:w="108" w:type="dxa"/>
            <w:bottom w:w="0" w:type="dxa"/>
            <w:right w:w="108" w:type="dxa"/>
          </w:tblCellMar>
        </w:tblPrEx>
        <w:tc>
          <w:tcPr>
            <w:tcW w:w="704" w:type="dxa"/>
            <w:vMerge w:val="continue"/>
            <w:tcBorders>
              <w:top w:val="nil"/>
              <w:left w:val="single" w:color="auto" w:sz="4" w:space="0"/>
              <w:bottom w:val="single" w:color="auto" w:sz="4" w:space="0"/>
              <w:right w:val="single" w:color="auto" w:sz="4" w:space="0"/>
            </w:tcBorders>
            <w:vAlign w:val="center"/>
          </w:tcPr>
          <w:p>
            <w:pPr>
              <w:widowControl/>
              <w:spacing w:line="276" w:lineRule="auto"/>
              <w:jc w:val="left"/>
              <w:rPr>
                <w:rFonts w:ascii="宋体" w:hAnsi="宋体" w:eastAsia="宋体" w:cs="宋体"/>
                <w:color w:val="auto"/>
                <w:kern w:val="0"/>
                <w:sz w:val="24"/>
                <w:szCs w:val="24"/>
                <w14:ligatures w14:val="none"/>
              </w:rPr>
            </w:pPr>
          </w:p>
        </w:tc>
        <w:tc>
          <w:tcPr>
            <w:tcW w:w="856" w:type="dxa"/>
            <w:vMerge w:val="continue"/>
            <w:tcBorders>
              <w:top w:val="nil"/>
              <w:left w:val="single" w:color="auto" w:sz="4" w:space="0"/>
              <w:bottom w:val="single" w:color="auto" w:sz="4" w:space="0"/>
              <w:right w:val="single" w:color="auto" w:sz="4" w:space="0"/>
            </w:tcBorders>
            <w:vAlign w:val="center"/>
          </w:tcPr>
          <w:p>
            <w:pPr>
              <w:widowControl/>
              <w:spacing w:line="276" w:lineRule="auto"/>
              <w:jc w:val="left"/>
              <w:rPr>
                <w:rFonts w:ascii="宋体" w:hAnsi="宋体" w:eastAsia="宋体" w:cs="宋体"/>
                <w:color w:val="auto"/>
                <w:kern w:val="0"/>
                <w:sz w:val="24"/>
                <w:szCs w:val="24"/>
                <w14:ligatures w14:val="none"/>
              </w:rPr>
            </w:pPr>
          </w:p>
        </w:tc>
        <w:tc>
          <w:tcPr>
            <w:tcW w:w="1285"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风险审核规则</w:t>
            </w:r>
          </w:p>
        </w:tc>
        <w:tc>
          <w:tcPr>
            <w:tcW w:w="6317"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支持自定义设置费用异常、不合理入院、再入院、体检入院等预警病例的条件。</w:t>
            </w:r>
          </w:p>
        </w:tc>
      </w:tr>
      <w:tr>
        <w:tblPrEx>
          <w:tblCellMar>
            <w:top w:w="0" w:type="dxa"/>
            <w:left w:w="108" w:type="dxa"/>
            <w:bottom w:w="0" w:type="dxa"/>
            <w:right w:w="108" w:type="dxa"/>
          </w:tblCellMar>
        </w:tblPrEx>
        <w:tc>
          <w:tcPr>
            <w:tcW w:w="704" w:type="dxa"/>
            <w:vMerge w:val="continue"/>
            <w:tcBorders>
              <w:top w:val="nil"/>
              <w:left w:val="single" w:color="auto" w:sz="4" w:space="0"/>
              <w:bottom w:val="single" w:color="auto" w:sz="4" w:space="0"/>
              <w:right w:val="single" w:color="auto" w:sz="4" w:space="0"/>
            </w:tcBorders>
            <w:vAlign w:val="center"/>
          </w:tcPr>
          <w:p>
            <w:pPr>
              <w:widowControl/>
              <w:spacing w:line="276" w:lineRule="auto"/>
              <w:jc w:val="left"/>
              <w:rPr>
                <w:rFonts w:ascii="宋体" w:hAnsi="宋体" w:eastAsia="宋体" w:cs="宋体"/>
                <w:color w:val="auto"/>
                <w:kern w:val="0"/>
                <w:sz w:val="24"/>
                <w:szCs w:val="24"/>
                <w14:ligatures w14:val="none"/>
              </w:rPr>
            </w:pPr>
          </w:p>
        </w:tc>
        <w:tc>
          <w:tcPr>
            <w:tcW w:w="856" w:type="dxa"/>
            <w:vMerge w:val="continue"/>
            <w:tcBorders>
              <w:top w:val="nil"/>
              <w:left w:val="single" w:color="auto" w:sz="4" w:space="0"/>
              <w:bottom w:val="single" w:color="auto" w:sz="4" w:space="0"/>
              <w:right w:val="single" w:color="auto" w:sz="4" w:space="0"/>
            </w:tcBorders>
            <w:vAlign w:val="center"/>
          </w:tcPr>
          <w:p>
            <w:pPr>
              <w:widowControl/>
              <w:spacing w:line="276" w:lineRule="auto"/>
              <w:jc w:val="left"/>
              <w:rPr>
                <w:rFonts w:ascii="宋体" w:hAnsi="宋体" w:eastAsia="宋体" w:cs="宋体"/>
                <w:color w:val="auto"/>
                <w:kern w:val="0"/>
                <w:sz w:val="24"/>
                <w:szCs w:val="24"/>
                <w14:ligatures w14:val="none"/>
              </w:rPr>
            </w:pPr>
          </w:p>
        </w:tc>
        <w:tc>
          <w:tcPr>
            <w:tcW w:w="1285"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结算单导入设置</w:t>
            </w:r>
          </w:p>
        </w:tc>
        <w:tc>
          <w:tcPr>
            <w:tcW w:w="6317"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支持结算导入字段映射和处理。</w:t>
            </w:r>
          </w:p>
        </w:tc>
      </w:tr>
      <w:tr>
        <w:tblPrEx>
          <w:tblCellMar>
            <w:top w:w="0" w:type="dxa"/>
            <w:left w:w="108" w:type="dxa"/>
            <w:bottom w:w="0" w:type="dxa"/>
            <w:right w:w="108" w:type="dxa"/>
          </w:tblCellMar>
        </w:tblPrEx>
        <w:tc>
          <w:tcPr>
            <w:tcW w:w="704" w:type="dxa"/>
            <w:vMerge w:val="continue"/>
            <w:tcBorders>
              <w:top w:val="nil"/>
              <w:left w:val="single" w:color="auto" w:sz="4" w:space="0"/>
              <w:bottom w:val="single" w:color="auto" w:sz="4" w:space="0"/>
              <w:right w:val="single" w:color="auto" w:sz="4" w:space="0"/>
            </w:tcBorders>
            <w:vAlign w:val="center"/>
          </w:tcPr>
          <w:p>
            <w:pPr>
              <w:widowControl/>
              <w:spacing w:line="276" w:lineRule="auto"/>
              <w:jc w:val="left"/>
              <w:rPr>
                <w:rFonts w:ascii="宋体" w:hAnsi="宋体" w:eastAsia="宋体" w:cs="宋体"/>
                <w:color w:val="auto"/>
                <w:kern w:val="0"/>
                <w:sz w:val="24"/>
                <w:szCs w:val="24"/>
                <w14:ligatures w14:val="none"/>
              </w:rPr>
            </w:pPr>
          </w:p>
        </w:tc>
        <w:tc>
          <w:tcPr>
            <w:tcW w:w="856" w:type="dxa"/>
            <w:vMerge w:val="continue"/>
            <w:tcBorders>
              <w:top w:val="nil"/>
              <w:left w:val="single" w:color="auto" w:sz="4" w:space="0"/>
              <w:bottom w:val="single" w:color="auto" w:sz="4" w:space="0"/>
              <w:right w:val="single" w:color="auto" w:sz="4" w:space="0"/>
            </w:tcBorders>
            <w:vAlign w:val="center"/>
          </w:tcPr>
          <w:p>
            <w:pPr>
              <w:widowControl/>
              <w:spacing w:line="276" w:lineRule="auto"/>
              <w:jc w:val="left"/>
              <w:rPr>
                <w:rFonts w:ascii="宋体" w:hAnsi="宋体" w:eastAsia="宋体" w:cs="宋体"/>
                <w:color w:val="auto"/>
                <w:kern w:val="0"/>
                <w:sz w:val="24"/>
                <w:szCs w:val="24"/>
                <w14:ligatures w14:val="none"/>
              </w:rPr>
            </w:pPr>
          </w:p>
        </w:tc>
        <w:tc>
          <w:tcPr>
            <w:tcW w:w="1285"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标杆设置</w:t>
            </w:r>
          </w:p>
        </w:tc>
        <w:tc>
          <w:tcPr>
            <w:tcW w:w="6317"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支持自定义设置病组和科室的标杆值。</w:t>
            </w:r>
          </w:p>
        </w:tc>
      </w:tr>
      <w:tr>
        <w:tblPrEx>
          <w:tblCellMar>
            <w:top w:w="0" w:type="dxa"/>
            <w:left w:w="108" w:type="dxa"/>
            <w:bottom w:w="0" w:type="dxa"/>
            <w:right w:w="108" w:type="dxa"/>
          </w:tblCellMar>
        </w:tblPrEx>
        <w:tc>
          <w:tcPr>
            <w:tcW w:w="704" w:type="dxa"/>
            <w:vMerge w:val="continue"/>
            <w:tcBorders>
              <w:top w:val="nil"/>
              <w:left w:val="single" w:color="auto" w:sz="4" w:space="0"/>
              <w:bottom w:val="single" w:color="auto" w:sz="4" w:space="0"/>
              <w:right w:val="single" w:color="auto" w:sz="4" w:space="0"/>
            </w:tcBorders>
            <w:vAlign w:val="center"/>
          </w:tcPr>
          <w:p>
            <w:pPr>
              <w:widowControl/>
              <w:spacing w:line="276" w:lineRule="auto"/>
              <w:jc w:val="left"/>
              <w:rPr>
                <w:rFonts w:ascii="宋体" w:hAnsi="宋体" w:eastAsia="宋体" w:cs="宋体"/>
                <w:color w:val="auto"/>
                <w:kern w:val="0"/>
                <w:sz w:val="24"/>
                <w:szCs w:val="24"/>
                <w14:ligatures w14:val="none"/>
              </w:rPr>
            </w:pPr>
          </w:p>
        </w:tc>
        <w:tc>
          <w:tcPr>
            <w:tcW w:w="856" w:type="dxa"/>
            <w:vMerge w:val="continue"/>
            <w:tcBorders>
              <w:top w:val="nil"/>
              <w:left w:val="single" w:color="auto" w:sz="4" w:space="0"/>
              <w:bottom w:val="single" w:color="auto" w:sz="4" w:space="0"/>
              <w:right w:val="single" w:color="auto" w:sz="4" w:space="0"/>
            </w:tcBorders>
            <w:vAlign w:val="center"/>
          </w:tcPr>
          <w:p>
            <w:pPr>
              <w:widowControl/>
              <w:spacing w:line="276" w:lineRule="auto"/>
              <w:jc w:val="left"/>
              <w:rPr>
                <w:rFonts w:ascii="宋体" w:hAnsi="宋体" w:eastAsia="宋体" w:cs="宋体"/>
                <w:color w:val="auto"/>
                <w:kern w:val="0"/>
                <w:sz w:val="24"/>
                <w:szCs w:val="24"/>
                <w14:ligatures w14:val="none"/>
              </w:rPr>
            </w:pPr>
          </w:p>
        </w:tc>
        <w:tc>
          <w:tcPr>
            <w:tcW w:w="1285"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事中费用预警设置</w:t>
            </w:r>
          </w:p>
        </w:tc>
        <w:tc>
          <w:tcPr>
            <w:tcW w:w="6317"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支持自定义高倍预警、低倍预警、超支风险三类费用预警的规则与生效范围。</w:t>
            </w:r>
          </w:p>
        </w:tc>
      </w:tr>
      <w:tr>
        <w:tblPrEx>
          <w:tblCellMar>
            <w:top w:w="0" w:type="dxa"/>
            <w:left w:w="108" w:type="dxa"/>
            <w:bottom w:w="0" w:type="dxa"/>
            <w:right w:w="108" w:type="dxa"/>
          </w:tblCellMar>
        </w:tblPrEx>
        <w:tc>
          <w:tcPr>
            <w:tcW w:w="704" w:type="dxa"/>
            <w:vMerge w:val="continue"/>
            <w:tcBorders>
              <w:top w:val="nil"/>
              <w:left w:val="single" w:color="auto" w:sz="4" w:space="0"/>
              <w:bottom w:val="single" w:color="auto" w:sz="4" w:space="0"/>
              <w:right w:val="single" w:color="auto" w:sz="4" w:space="0"/>
            </w:tcBorders>
            <w:vAlign w:val="center"/>
          </w:tcPr>
          <w:p>
            <w:pPr>
              <w:widowControl/>
              <w:spacing w:line="276" w:lineRule="auto"/>
              <w:jc w:val="left"/>
              <w:rPr>
                <w:rFonts w:ascii="宋体" w:hAnsi="宋体" w:eastAsia="宋体" w:cs="宋体"/>
                <w:color w:val="auto"/>
                <w:kern w:val="0"/>
                <w:sz w:val="24"/>
                <w:szCs w:val="24"/>
                <w14:ligatures w14:val="none"/>
              </w:rPr>
            </w:pPr>
          </w:p>
        </w:tc>
        <w:tc>
          <w:tcPr>
            <w:tcW w:w="856" w:type="dxa"/>
            <w:vMerge w:val="continue"/>
            <w:tcBorders>
              <w:top w:val="nil"/>
              <w:left w:val="single" w:color="auto" w:sz="4" w:space="0"/>
              <w:bottom w:val="single" w:color="auto" w:sz="4" w:space="0"/>
              <w:right w:val="single" w:color="auto" w:sz="4" w:space="0"/>
            </w:tcBorders>
            <w:vAlign w:val="center"/>
          </w:tcPr>
          <w:p>
            <w:pPr>
              <w:widowControl/>
              <w:spacing w:line="276" w:lineRule="auto"/>
              <w:jc w:val="left"/>
              <w:rPr>
                <w:rFonts w:ascii="宋体" w:hAnsi="宋体" w:eastAsia="宋体" w:cs="宋体"/>
                <w:color w:val="auto"/>
                <w:kern w:val="0"/>
                <w:sz w:val="24"/>
                <w:szCs w:val="24"/>
                <w14:ligatures w14:val="none"/>
              </w:rPr>
            </w:pPr>
          </w:p>
        </w:tc>
        <w:tc>
          <w:tcPr>
            <w:tcW w:w="1285"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病例详情设置</w:t>
            </w:r>
          </w:p>
        </w:tc>
        <w:tc>
          <w:tcPr>
            <w:tcW w:w="6317"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支持自定义病例详情控费进度条的展示形式，以及详情页的字段信息、指标展示。</w:t>
            </w:r>
          </w:p>
        </w:tc>
      </w:tr>
      <w:tr>
        <w:tblPrEx>
          <w:tblCellMar>
            <w:top w:w="0" w:type="dxa"/>
            <w:left w:w="108" w:type="dxa"/>
            <w:bottom w:w="0" w:type="dxa"/>
            <w:right w:w="108" w:type="dxa"/>
          </w:tblCellMar>
        </w:tblPrEx>
        <w:tc>
          <w:tcPr>
            <w:tcW w:w="704" w:type="dxa"/>
            <w:vMerge w:val="continue"/>
            <w:tcBorders>
              <w:top w:val="nil"/>
              <w:left w:val="single" w:color="auto" w:sz="4" w:space="0"/>
              <w:bottom w:val="single" w:color="auto" w:sz="4" w:space="0"/>
              <w:right w:val="single" w:color="auto" w:sz="4" w:space="0"/>
            </w:tcBorders>
            <w:vAlign w:val="center"/>
          </w:tcPr>
          <w:p>
            <w:pPr>
              <w:widowControl/>
              <w:spacing w:line="276" w:lineRule="auto"/>
              <w:jc w:val="left"/>
              <w:rPr>
                <w:rFonts w:ascii="宋体" w:hAnsi="宋体" w:eastAsia="宋体" w:cs="宋体"/>
                <w:color w:val="auto"/>
                <w:kern w:val="0"/>
                <w:sz w:val="24"/>
                <w:szCs w:val="24"/>
                <w14:ligatures w14:val="none"/>
              </w:rPr>
            </w:pPr>
          </w:p>
        </w:tc>
        <w:tc>
          <w:tcPr>
            <w:tcW w:w="856" w:type="dxa"/>
            <w:vMerge w:val="continue"/>
            <w:tcBorders>
              <w:top w:val="nil"/>
              <w:left w:val="single" w:color="auto" w:sz="4" w:space="0"/>
              <w:bottom w:val="single" w:color="auto" w:sz="4" w:space="0"/>
              <w:right w:val="single" w:color="auto" w:sz="4" w:space="0"/>
            </w:tcBorders>
            <w:vAlign w:val="center"/>
          </w:tcPr>
          <w:p>
            <w:pPr>
              <w:widowControl/>
              <w:spacing w:line="276" w:lineRule="auto"/>
              <w:jc w:val="left"/>
              <w:rPr>
                <w:rFonts w:ascii="宋体" w:hAnsi="宋体" w:eastAsia="宋体" w:cs="宋体"/>
                <w:color w:val="auto"/>
                <w:kern w:val="0"/>
                <w:sz w:val="24"/>
                <w:szCs w:val="24"/>
                <w14:ligatures w14:val="none"/>
              </w:rPr>
            </w:pPr>
          </w:p>
        </w:tc>
        <w:tc>
          <w:tcPr>
            <w:tcW w:w="1285"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特殊结算方式设置</w:t>
            </w:r>
          </w:p>
        </w:tc>
        <w:tc>
          <w:tcPr>
            <w:tcW w:w="6317"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支持自定义事中监测优先按点数最高预测、优先按病组预测、优先按床日预测等，开关按床日结算预测和中医预测结算。</w:t>
            </w:r>
          </w:p>
        </w:tc>
      </w:tr>
      <w:tr>
        <w:tc>
          <w:tcPr>
            <w:tcW w:w="704" w:type="dxa"/>
            <w:vMerge w:val="continue"/>
            <w:tcBorders>
              <w:top w:val="nil"/>
              <w:left w:val="single" w:color="auto" w:sz="4" w:space="0"/>
              <w:bottom w:val="single" w:color="auto" w:sz="4" w:space="0"/>
              <w:right w:val="single" w:color="auto" w:sz="4" w:space="0"/>
            </w:tcBorders>
            <w:vAlign w:val="center"/>
          </w:tcPr>
          <w:p>
            <w:pPr>
              <w:widowControl/>
              <w:spacing w:line="276" w:lineRule="auto"/>
              <w:jc w:val="left"/>
              <w:rPr>
                <w:rFonts w:ascii="宋体" w:hAnsi="宋体" w:eastAsia="宋体" w:cs="宋体"/>
                <w:color w:val="auto"/>
                <w:kern w:val="0"/>
                <w:sz w:val="24"/>
                <w:szCs w:val="24"/>
                <w14:ligatures w14:val="none"/>
              </w:rPr>
            </w:pPr>
          </w:p>
        </w:tc>
        <w:tc>
          <w:tcPr>
            <w:tcW w:w="856" w:type="dxa"/>
            <w:vMerge w:val="restart"/>
            <w:tcBorders>
              <w:top w:val="nil"/>
              <w:left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账号权限管理</w:t>
            </w:r>
          </w:p>
        </w:tc>
        <w:tc>
          <w:tcPr>
            <w:tcW w:w="1285"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管理科室设置</w:t>
            </w:r>
          </w:p>
        </w:tc>
        <w:tc>
          <w:tcPr>
            <w:tcW w:w="6317"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支持按出院科室设置大科室，满足医院二级科室管理。</w:t>
            </w:r>
          </w:p>
        </w:tc>
      </w:tr>
      <w:tr>
        <w:tblPrEx>
          <w:tblCellMar>
            <w:top w:w="0" w:type="dxa"/>
            <w:left w:w="108" w:type="dxa"/>
            <w:bottom w:w="0" w:type="dxa"/>
            <w:right w:w="108" w:type="dxa"/>
          </w:tblCellMar>
        </w:tblPrEx>
        <w:tc>
          <w:tcPr>
            <w:tcW w:w="704" w:type="dxa"/>
            <w:vMerge w:val="continue"/>
            <w:tcBorders>
              <w:top w:val="nil"/>
              <w:left w:val="single" w:color="auto" w:sz="4" w:space="0"/>
              <w:bottom w:val="single" w:color="auto" w:sz="4" w:space="0"/>
              <w:right w:val="single" w:color="auto" w:sz="4" w:space="0"/>
            </w:tcBorders>
            <w:vAlign w:val="center"/>
          </w:tcPr>
          <w:p>
            <w:pPr>
              <w:widowControl/>
              <w:spacing w:line="276" w:lineRule="auto"/>
              <w:jc w:val="left"/>
              <w:rPr>
                <w:rFonts w:ascii="宋体" w:hAnsi="宋体" w:eastAsia="宋体" w:cs="宋体"/>
                <w:color w:val="auto"/>
                <w:kern w:val="0"/>
                <w:sz w:val="24"/>
                <w:szCs w:val="24"/>
                <w14:ligatures w14:val="none"/>
              </w:rPr>
            </w:pPr>
          </w:p>
        </w:tc>
        <w:tc>
          <w:tcPr>
            <w:tcW w:w="856" w:type="dxa"/>
            <w:vMerge w:val="continue"/>
            <w:tcBorders>
              <w:left w:val="single" w:color="auto" w:sz="4" w:space="0"/>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p>
        </w:tc>
        <w:tc>
          <w:tcPr>
            <w:tcW w:w="1285"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角色与数据权限</w:t>
            </w:r>
          </w:p>
        </w:tc>
        <w:tc>
          <w:tcPr>
            <w:tcW w:w="6317" w:type="dxa"/>
            <w:tcBorders>
              <w:top w:val="nil"/>
              <w:left w:val="nil"/>
              <w:bottom w:val="single" w:color="auto" w:sz="4" w:space="0"/>
              <w:right w:val="single" w:color="auto" w:sz="4" w:space="0"/>
            </w:tcBorders>
            <w:shd w:val="clear" w:color="auto" w:fill="auto"/>
            <w:vAlign w:val="center"/>
          </w:tcPr>
          <w:p>
            <w:pPr>
              <w:widowControl/>
              <w:spacing w:line="276" w:lineRule="auto"/>
              <w:jc w:val="left"/>
              <w:rPr>
                <w:rFonts w:ascii="宋体" w:hAnsi="宋体" w:eastAsia="宋体" w:cs="宋体"/>
                <w:color w:val="auto"/>
                <w:kern w:val="0"/>
                <w:sz w:val="24"/>
                <w:szCs w:val="24"/>
                <w14:ligatures w14:val="none"/>
              </w:rPr>
            </w:pPr>
            <w:r>
              <w:rPr>
                <w:rFonts w:hint="eastAsia" w:ascii="宋体" w:hAnsi="宋体" w:eastAsia="宋体" w:cs="宋体"/>
                <w:color w:val="auto"/>
                <w:kern w:val="0"/>
                <w:sz w:val="24"/>
                <w:szCs w:val="24"/>
                <w14:ligatures w14:val="none"/>
              </w:rPr>
              <w:t>支持根据医院需要，按照院级、科级、医生不同角色设置菜单和数据权限。</w:t>
            </w:r>
          </w:p>
        </w:tc>
      </w:tr>
      <w:bookmarkEnd w:id="16"/>
    </w:tbl>
    <w:p>
      <w:pPr>
        <w:rPr>
          <w:rFonts w:hint="default" w:ascii="Arial" w:hAnsi="Arial" w:cs="Arial"/>
          <w:b/>
          <w:bCs/>
          <w:color w:val="auto"/>
          <w:sz w:val="32"/>
          <w:szCs w:val="32"/>
        </w:rPr>
      </w:pPr>
      <w:r>
        <w:rPr>
          <w:rFonts w:hint="eastAsia" w:cs="Arial"/>
          <w:b/>
          <w:bCs/>
          <w:color w:val="auto"/>
          <w:sz w:val="32"/>
          <w:szCs w:val="32"/>
          <w:lang w:val="en-US" w:eastAsia="zh-CN"/>
        </w:rPr>
        <w:br w:type="page"/>
      </w:r>
    </w:p>
    <w:p>
      <w:pPr>
        <w:keepNext w:val="0"/>
        <w:keepLines w:val="0"/>
        <w:pageBreakBefore w:val="0"/>
        <w:widowControl w:val="0"/>
        <w:numPr>
          <w:ilvl w:val="1"/>
          <w:numId w:val="2"/>
        </w:numPr>
        <w:kinsoku/>
        <w:wordWrap/>
        <w:overflowPunct/>
        <w:topLinePunct w:val="0"/>
        <w:autoSpaceDE/>
        <w:autoSpaceDN/>
        <w:bidi w:val="0"/>
        <w:adjustRightInd/>
        <w:snapToGrid/>
        <w:spacing w:line="360" w:lineRule="auto"/>
        <w:ind w:left="0" w:leftChars="0" w:firstLine="0" w:firstLineChars="0"/>
        <w:textAlignment w:val="auto"/>
        <w:outlineLvl w:val="1"/>
        <w:rPr>
          <w:rFonts w:hint="default" w:ascii="Arial" w:hAnsi="Arial" w:eastAsia="宋体" w:cs="Arial"/>
          <w:b/>
          <w:bCs/>
          <w:sz w:val="28"/>
          <w:szCs w:val="28"/>
        </w:rPr>
      </w:pPr>
      <w:bookmarkStart w:id="18" w:name="_Toc4793"/>
      <w:r>
        <w:rPr>
          <w:rFonts w:hint="eastAsia" w:ascii="Arial" w:hAnsi="Arial" w:eastAsia="宋体" w:cs="Arial"/>
          <w:b/>
          <w:bCs/>
          <w:sz w:val="28"/>
          <w:szCs w:val="28"/>
        </w:rPr>
        <w:t>实施及商务要求</w:t>
      </w:r>
      <w:bookmarkEnd w:id="18"/>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1.付款方式</w:t>
      </w:r>
    </w:p>
    <w:p>
      <w:pPr>
        <w:spacing w:line="360" w:lineRule="auto"/>
        <w:ind w:firstLine="480" w:firstLineChars="200"/>
        <w:rPr>
          <w:rFonts w:hint="eastAsia" w:ascii="宋体" w:hAnsi="宋体" w:eastAsia="宋体" w:cs="宋体"/>
          <w:sz w:val="24"/>
          <w:szCs w:val="24"/>
          <w:highlight w:val="red"/>
        </w:rPr>
      </w:pPr>
      <w:r>
        <w:rPr>
          <w:rFonts w:hint="eastAsia" w:ascii="宋体" w:hAnsi="宋体" w:eastAsia="宋体" w:cs="宋体"/>
          <w:sz w:val="24"/>
          <w:szCs w:val="24"/>
          <w:highlight w:val="red"/>
        </w:rPr>
        <w:t>合同签订后15日内甲方向乙方支付合同总额的</w:t>
      </w:r>
      <w:r>
        <w:rPr>
          <w:rFonts w:hint="eastAsia" w:ascii="宋体" w:hAnsi="宋体" w:cs="宋体"/>
          <w:sz w:val="24"/>
          <w:szCs w:val="24"/>
          <w:highlight w:val="red"/>
          <w:lang w:val="en-US" w:eastAsia="zh-CN"/>
        </w:rPr>
        <w:t>30</w:t>
      </w:r>
      <w:r>
        <w:rPr>
          <w:rFonts w:hint="eastAsia" w:ascii="宋体" w:hAnsi="宋体" w:eastAsia="宋体" w:cs="宋体"/>
          <w:sz w:val="24"/>
          <w:szCs w:val="24"/>
          <w:highlight w:val="red"/>
        </w:rPr>
        <w:t>%的预付款；系统稳定运行</w:t>
      </w:r>
      <w:r>
        <w:rPr>
          <w:rFonts w:hint="eastAsia" w:ascii="宋体" w:hAnsi="宋体" w:cs="宋体"/>
          <w:sz w:val="24"/>
          <w:szCs w:val="24"/>
          <w:highlight w:val="red"/>
          <w:lang w:eastAsia="zh-CN"/>
        </w:rPr>
        <w:t>并验收合格后付</w:t>
      </w:r>
      <w:r>
        <w:rPr>
          <w:rFonts w:hint="eastAsia" w:ascii="宋体" w:hAnsi="宋体" w:cs="宋体"/>
          <w:sz w:val="24"/>
          <w:szCs w:val="24"/>
          <w:highlight w:val="red"/>
          <w:lang w:val="en-US" w:eastAsia="zh-CN"/>
        </w:rPr>
        <w:t>60%；一年后</w:t>
      </w:r>
      <w:r>
        <w:rPr>
          <w:rFonts w:hint="eastAsia" w:ascii="宋体" w:hAnsi="宋体" w:eastAsia="宋体" w:cs="宋体"/>
          <w:sz w:val="24"/>
          <w:szCs w:val="24"/>
          <w:highlight w:val="red"/>
        </w:rPr>
        <w:t>，甲方向乙方支付合同总额的10%货款。</w:t>
      </w:r>
    </w:p>
    <w:p>
      <w:pPr>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rPr>
        <w:t xml:space="preserve"> 2.</w:t>
      </w:r>
      <w:r>
        <w:rPr>
          <w:rFonts w:hint="eastAsia" w:ascii="宋体" w:hAnsi="宋体" w:eastAsia="宋体" w:cs="宋体"/>
          <w:sz w:val="24"/>
          <w:szCs w:val="24"/>
          <w:lang w:val="en-US" w:eastAsia="zh-CN"/>
        </w:rPr>
        <w:t>服务周期</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2.1</w:t>
      </w:r>
      <w:r>
        <w:rPr>
          <w:rFonts w:hint="default" w:ascii="Arial" w:hAnsi="Arial" w:eastAsia="宋体" w:cs="Arial"/>
          <w:sz w:val="24"/>
          <w:szCs w:val="24"/>
        </w:rPr>
        <w:t>服务期从合同签订日起算</w:t>
      </w:r>
      <w:r>
        <w:rPr>
          <w:rFonts w:hint="eastAsia" w:ascii="Arial" w:hAnsi="Arial" w:cs="Arial"/>
          <w:sz w:val="24"/>
          <w:szCs w:val="24"/>
          <w:lang w:val="en-US" w:eastAsia="zh-CN"/>
        </w:rPr>
        <w:t>2</w:t>
      </w:r>
      <w:r>
        <w:rPr>
          <w:rFonts w:hint="default" w:ascii="Arial" w:hAnsi="Arial" w:eastAsia="宋体" w:cs="Arial"/>
          <w:sz w:val="24"/>
          <w:szCs w:val="24"/>
        </w:rPr>
        <w:t>年。</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2.2投标人</w:t>
      </w:r>
      <w:r>
        <w:rPr>
          <w:rFonts w:hint="eastAsia" w:ascii="宋体" w:hAnsi="宋体" w:cs="宋体"/>
          <w:sz w:val="24"/>
          <w:szCs w:val="24"/>
          <w:lang w:val="en-US" w:eastAsia="zh-CN"/>
        </w:rPr>
        <w:t>的</w:t>
      </w:r>
      <w:r>
        <w:rPr>
          <w:rFonts w:hint="eastAsia" w:ascii="宋体" w:hAnsi="宋体" w:eastAsia="宋体" w:cs="宋体"/>
          <w:sz w:val="24"/>
          <w:szCs w:val="24"/>
        </w:rPr>
        <w:t>服务内容应包括：服务能力、服务时间、人员配备、系统故障响应、诊断、应急处理等。</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2.3在系统的服务期内，投标人应确保系统的正常使用。在接到用户服务要求后应立即做出回应，并在承诺的服务时间内实施服务。</w:t>
      </w:r>
    </w:p>
    <w:p>
      <w:pPr>
        <w:spacing w:line="360" w:lineRule="auto"/>
        <w:rPr>
          <w:rFonts w:hint="eastAsia" w:ascii="宋体" w:hAnsi="宋体" w:eastAsia="宋体" w:cs="宋体"/>
          <w:sz w:val="24"/>
          <w:szCs w:val="24"/>
        </w:rPr>
      </w:pPr>
      <w:r>
        <w:rPr>
          <w:rFonts w:hint="eastAsia" w:ascii="宋体" w:hAnsi="宋体" w:eastAsia="宋体" w:cs="宋体"/>
          <w:kern w:val="0"/>
          <w:sz w:val="24"/>
          <w:szCs w:val="24"/>
        </w:rPr>
        <w:t xml:space="preserve">  </w:t>
      </w:r>
      <w:r>
        <w:rPr>
          <w:rFonts w:hint="eastAsia" w:ascii="宋体" w:hAnsi="宋体" w:cs="宋体"/>
          <w:kern w:val="0"/>
          <w:sz w:val="24"/>
          <w:szCs w:val="24"/>
          <w:lang w:val="en-US" w:eastAsia="zh-CN"/>
        </w:rPr>
        <w:t xml:space="preserve">  </w:t>
      </w:r>
      <w:r>
        <w:rPr>
          <w:rFonts w:hint="eastAsia" w:ascii="宋体" w:hAnsi="宋体" w:eastAsia="宋体" w:cs="宋体"/>
          <w:sz w:val="24"/>
          <w:szCs w:val="24"/>
        </w:rPr>
        <w:t>2.4 7×24小时的免费上门保修服务半小时内响应，4小时内到达现场，24小时内解决故障。</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2.5热线电话服务提供技术咨询、故障诊断、故障排除、以及现场支持等具体的技术支持工作，并对客户投诉做出相应处理。</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highlight w:val="none"/>
        </w:rPr>
        <w:t>2.6定期巡检</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不少于一年一次</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与</w:t>
      </w:r>
      <w:r>
        <w:rPr>
          <w:rFonts w:hint="eastAsia" w:ascii="宋体" w:hAnsi="宋体" w:eastAsia="宋体" w:cs="宋体"/>
          <w:sz w:val="24"/>
          <w:szCs w:val="24"/>
        </w:rPr>
        <w:t>调优系统，</w:t>
      </w:r>
      <w:r>
        <w:rPr>
          <w:rFonts w:hint="eastAsia" w:ascii="宋体" w:hAnsi="宋体" w:eastAsia="宋体" w:cs="宋体"/>
          <w:sz w:val="24"/>
          <w:szCs w:val="24"/>
          <w:lang w:val="en-US" w:eastAsia="zh-CN"/>
        </w:rPr>
        <w:t>确保</w:t>
      </w:r>
      <w:r>
        <w:rPr>
          <w:rFonts w:hint="eastAsia" w:ascii="宋体" w:hAnsi="宋体" w:eastAsia="宋体" w:cs="宋体"/>
          <w:sz w:val="24"/>
          <w:szCs w:val="24"/>
        </w:rPr>
        <w:t>系统始终处于高效率运行状态。</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3、培训</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3.1培训：投标人应制定详细的培训计划，对使用人员进行操作及相关技术培训。投标人负责用户的现场技术培训，包括产品的功能、部署条件、部署步骤和注意事项、产品升级、日常维护事项等方面，使用户达到能独立进行管理、维护测试和故障处理等工作，以使所提供的软件产品能够正常、安全的运行。</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3.2所有的培训费用必须计入投标总价。</w:t>
      </w:r>
    </w:p>
    <w:p>
      <w:pPr>
        <w:spacing w:line="360" w:lineRule="auto"/>
        <w:ind w:firstLine="480" w:firstLineChars="200"/>
        <w:rPr>
          <w:rFonts w:hint="eastAsia" w:ascii="宋体" w:hAnsi="宋体" w:eastAsia="宋体" w:cs="宋体"/>
          <w:sz w:val="24"/>
          <w:szCs w:val="24"/>
        </w:rPr>
      </w:pPr>
      <w:r>
        <w:rPr>
          <w:rFonts w:hint="eastAsia" w:ascii="宋体" w:hAnsi="宋体" w:cs="宋体"/>
          <w:sz w:val="24"/>
          <w:szCs w:val="24"/>
          <w:lang w:val="en-US" w:eastAsia="zh-CN"/>
        </w:rPr>
        <w:t>4</w:t>
      </w:r>
      <w:r>
        <w:rPr>
          <w:rFonts w:hint="eastAsia" w:ascii="宋体" w:hAnsi="宋体" w:eastAsia="宋体" w:cs="宋体"/>
          <w:sz w:val="24"/>
          <w:szCs w:val="24"/>
        </w:rPr>
        <w:t>、报价方式</w:t>
      </w:r>
    </w:p>
    <w:p>
      <w:pPr>
        <w:spacing w:line="360" w:lineRule="auto"/>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所有报价为到医院人民币价（含</w:t>
      </w:r>
      <w:r>
        <w:rPr>
          <w:rFonts w:hint="eastAsia" w:ascii="宋体" w:hAnsi="宋体" w:cs="宋体"/>
          <w:sz w:val="24"/>
          <w:szCs w:val="24"/>
          <w:highlight w:val="none"/>
          <w:lang w:val="en-US" w:eastAsia="zh-CN"/>
        </w:rPr>
        <w:t>接口</w:t>
      </w:r>
      <w:r>
        <w:rPr>
          <w:rFonts w:hint="eastAsia" w:ascii="宋体" w:hAnsi="宋体" w:eastAsia="宋体" w:cs="宋体"/>
          <w:sz w:val="24"/>
          <w:szCs w:val="24"/>
          <w:highlight w:val="none"/>
        </w:rPr>
        <w:t>费）。</w:t>
      </w:r>
    </w:p>
    <w:p>
      <w:pPr>
        <w:jc w:val="left"/>
        <w:rPr>
          <w:rFonts w:ascii="宋体" w:hAnsi="Calibri"/>
          <w:kern w:val="0"/>
          <w:sz w:val="24"/>
          <w:szCs w:val="24"/>
        </w:rPr>
      </w:pPr>
      <w:r>
        <w:br w:type="page"/>
      </w:r>
    </w:p>
    <w:p/>
    <w:p>
      <w:pPr>
        <w:widowControl/>
        <w:spacing w:line="440" w:lineRule="atLeast"/>
        <w:jc w:val="center"/>
        <w:rPr>
          <w:rFonts w:ascii="微软雅黑" w:hAnsi="微软雅黑" w:eastAsia="微软雅黑" w:cs="宋体"/>
          <w:color w:val="555555"/>
          <w:kern w:val="0"/>
          <w:sz w:val="19"/>
          <w:szCs w:val="19"/>
        </w:rPr>
      </w:pPr>
      <w:r>
        <w:rPr>
          <w:rFonts w:hint="eastAsia" w:ascii="宋体" w:hAnsi="宋体"/>
          <w:b/>
          <w:sz w:val="30"/>
          <w:szCs w:val="30"/>
        </w:rPr>
        <w:t>第三章 投标人须知</w:t>
      </w:r>
    </w:p>
    <w:tbl>
      <w:tblPr>
        <w:tblStyle w:val="16"/>
        <w:tblW w:w="10199" w:type="dxa"/>
        <w:jc w:val="center"/>
        <w:tblCellSpacing w:w="7" w:type="dxa"/>
        <w:tblLayout w:type="fixed"/>
        <w:tblCellMar>
          <w:top w:w="15" w:type="dxa"/>
          <w:left w:w="15" w:type="dxa"/>
          <w:bottom w:w="15" w:type="dxa"/>
          <w:right w:w="15" w:type="dxa"/>
        </w:tblCellMar>
      </w:tblPr>
      <w:tblGrid>
        <w:gridCol w:w="703"/>
        <w:gridCol w:w="1498"/>
        <w:gridCol w:w="7998"/>
      </w:tblGrid>
      <w:tr>
        <w:tblPrEx>
          <w:tblCellMar>
            <w:top w:w="15" w:type="dxa"/>
            <w:left w:w="15" w:type="dxa"/>
            <w:bottom w:w="15" w:type="dxa"/>
            <w:right w:w="15" w:type="dxa"/>
          </w:tblCellMar>
        </w:tblPrEx>
        <w:trPr>
          <w:trHeight w:val="434" w:hRule="atLeast"/>
          <w:tblCellSpacing w:w="7" w:type="dxa"/>
          <w:jc w:val="center"/>
        </w:trPr>
        <w:tc>
          <w:tcPr>
            <w:tcW w:w="682" w:type="dxa"/>
            <w:tcBorders>
              <w:top w:val="single" w:color="auto" w:sz="4" w:space="0"/>
              <w:left w:val="single" w:color="auto" w:sz="4" w:space="0"/>
              <w:bottom w:val="single" w:color="auto" w:sz="4" w:space="0"/>
              <w:right w:val="single" w:color="auto" w:sz="4" w:space="0"/>
            </w:tcBorders>
            <w:shd w:val="clear" w:color="auto" w:fill="E0E0E0"/>
            <w:noWrap w:val="0"/>
            <w:vAlign w:val="center"/>
          </w:tcPr>
          <w:p>
            <w:pPr>
              <w:spacing w:line="320" w:lineRule="exact"/>
              <w:jc w:val="center"/>
              <w:rPr>
                <w:rFonts w:hint="eastAsia" w:ascii="宋体" w:hAnsi="宋体" w:cs="宋体"/>
                <w:b/>
                <w:szCs w:val="21"/>
                <w:shd w:val="pct10" w:color="auto" w:fill="FFFFFF"/>
              </w:rPr>
            </w:pPr>
            <w:bookmarkStart w:id="19" w:name="OLE_LINK54"/>
            <w:bookmarkStart w:id="20" w:name="OLE_LINK53"/>
            <w:r>
              <w:rPr>
                <w:rFonts w:hint="eastAsia" w:ascii="宋体" w:hAnsi="宋体" w:cs="宋体"/>
                <w:b/>
                <w:szCs w:val="21"/>
                <w:shd w:val="pct10" w:color="auto" w:fill="FFFFFF"/>
              </w:rPr>
              <w:t>序号</w:t>
            </w:r>
          </w:p>
        </w:tc>
        <w:tc>
          <w:tcPr>
            <w:tcW w:w="9475" w:type="dxa"/>
            <w:gridSpan w:val="2"/>
            <w:tcBorders>
              <w:top w:val="single" w:color="auto" w:sz="4" w:space="0"/>
              <w:left w:val="single" w:color="auto" w:sz="4" w:space="0"/>
              <w:bottom w:val="single" w:color="auto" w:sz="4" w:space="0"/>
              <w:right w:val="single" w:color="auto" w:sz="4" w:space="0"/>
            </w:tcBorders>
            <w:shd w:val="clear" w:color="auto" w:fill="E0E0E0"/>
            <w:noWrap w:val="0"/>
            <w:vAlign w:val="center"/>
          </w:tcPr>
          <w:p>
            <w:pPr>
              <w:spacing w:line="320" w:lineRule="exact"/>
              <w:jc w:val="center"/>
              <w:rPr>
                <w:rFonts w:hint="eastAsia" w:ascii="宋体" w:hAnsi="宋体" w:cs="宋体"/>
                <w:b/>
                <w:szCs w:val="21"/>
                <w:shd w:val="pct10" w:color="auto" w:fill="FFFFFF"/>
              </w:rPr>
            </w:pPr>
            <w:r>
              <w:rPr>
                <w:rFonts w:hint="eastAsia" w:ascii="宋体" w:hAnsi="宋体" w:cs="宋体"/>
                <w:b/>
                <w:szCs w:val="21"/>
                <w:shd w:val="pct10" w:color="auto" w:fill="FFFFFF"/>
              </w:rPr>
              <w:t>内容说明及要求</w:t>
            </w:r>
          </w:p>
        </w:tc>
      </w:tr>
      <w:tr>
        <w:tblPrEx>
          <w:tblCellMar>
            <w:top w:w="15" w:type="dxa"/>
            <w:left w:w="15" w:type="dxa"/>
            <w:bottom w:w="15" w:type="dxa"/>
            <w:right w:w="15" w:type="dxa"/>
          </w:tblCellMar>
        </w:tblPrEx>
        <w:trPr>
          <w:trHeight w:val="422" w:hRule="atLeast"/>
          <w:tblCellSpacing w:w="7" w:type="dxa"/>
          <w:jc w:val="center"/>
        </w:trPr>
        <w:tc>
          <w:tcPr>
            <w:tcW w:w="682" w:type="dxa"/>
            <w:tcBorders>
              <w:top w:val="single" w:color="auto" w:sz="4" w:space="0"/>
              <w:left w:val="single" w:color="auto" w:sz="4" w:space="0"/>
              <w:bottom w:val="single" w:color="auto" w:sz="4" w:space="0"/>
              <w:right w:val="single" w:color="auto" w:sz="4" w:space="0"/>
            </w:tcBorders>
            <w:shd w:val="clear" w:color="auto" w:fill="E0E0E0"/>
            <w:noWrap w:val="0"/>
            <w:vAlign w:val="center"/>
          </w:tcPr>
          <w:p>
            <w:pPr>
              <w:spacing w:line="320" w:lineRule="exact"/>
              <w:jc w:val="center"/>
              <w:rPr>
                <w:rFonts w:hint="eastAsia" w:ascii="宋体" w:hAnsi="宋体" w:cs="宋体"/>
                <w:b/>
                <w:szCs w:val="21"/>
                <w:shd w:val="pct10" w:color="auto" w:fill="FFFFFF"/>
              </w:rPr>
            </w:pPr>
            <w:r>
              <w:rPr>
                <w:rFonts w:hint="eastAsia" w:ascii="宋体" w:hAnsi="宋体" w:cs="宋体"/>
                <w:b/>
                <w:szCs w:val="21"/>
                <w:shd w:val="pct10" w:color="auto" w:fill="FFFFFF"/>
              </w:rPr>
              <w:t>1</w:t>
            </w:r>
          </w:p>
        </w:tc>
        <w:tc>
          <w:tcPr>
            <w:tcW w:w="1484" w:type="dxa"/>
            <w:tcBorders>
              <w:top w:val="single" w:color="auto" w:sz="4" w:space="0"/>
              <w:left w:val="single" w:color="auto" w:sz="4" w:space="0"/>
              <w:bottom w:val="single" w:color="auto" w:sz="4" w:space="0"/>
              <w:right w:val="single" w:color="auto" w:sz="4" w:space="0"/>
            </w:tcBorders>
            <w:shd w:val="clear" w:color="auto" w:fill="E0E0E0"/>
            <w:noWrap w:val="0"/>
            <w:vAlign w:val="center"/>
          </w:tcPr>
          <w:p>
            <w:pPr>
              <w:spacing w:line="320" w:lineRule="exact"/>
              <w:jc w:val="center"/>
              <w:rPr>
                <w:rFonts w:hint="eastAsia" w:ascii="宋体" w:hAnsi="宋体" w:cs="宋体"/>
                <w:b/>
                <w:szCs w:val="21"/>
                <w:shd w:val="pct10" w:color="auto" w:fill="FFFFFF"/>
              </w:rPr>
            </w:pPr>
            <w:r>
              <w:rPr>
                <w:rFonts w:hint="eastAsia" w:ascii="宋体" w:hAnsi="宋体" w:cs="宋体"/>
                <w:b/>
                <w:szCs w:val="21"/>
                <w:shd w:val="pct10" w:color="auto" w:fill="FFFFFF"/>
              </w:rPr>
              <w:t>项目名称</w:t>
            </w:r>
          </w:p>
        </w:tc>
        <w:tc>
          <w:tcPr>
            <w:tcW w:w="797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320" w:lineRule="exact"/>
              <w:rPr>
                <w:rFonts w:hint="eastAsia" w:ascii="宋体" w:hAnsi="宋体" w:cs="宋体"/>
                <w:szCs w:val="21"/>
              </w:rPr>
            </w:pPr>
            <w:r>
              <w:rPr>
                <w:rFonts w:hint="eastAsia" w:ascii="宋体" w:hAnsi="宋体" w:eastAsia="宋体" w:cs="宋体"/>
                <w:color w:val="555555"/>
                <w:kern w:val="0"/>
              </w:rPr>
              <w:t>浙江省岱山县第一人民医院医保DRG医院智慧运营管理服务项目</w:t>
            </w:r>
          </w:p>
        </w:tc>
      </w:tr>
      <w:tr>
        <w:tblPrEx>
          <w:tblCellMar>
            <w:top w:w="15" w:type="dxa"/>
            <w:left w:w="15" w:type="dxa"/>
            <w:bottom w:w="15" w:type="dxa"/>
            <w:right w:w="15" w:type="dxa"/>
          </w:tblCellMar>
        </w:tblPrEx>
        <w:trPr>
          <w:trHeight w:val="422" w:hRule="atLeast"/>
          <w:tblCellSpacing w:w="7" w:type="dxa"/>
          <w:jc w:val="center"/>
        </w:trPr>
        <w:tc>
          <w:tcPr>
            <w:tcW w:w="682" w:type="dxa"/>
            <w:tcBorders>
              <w:top w:val="single" w:color="auto" w:sz="4" w:space="0"/>
              <w:left w:val="single" w:color="auto" w:sz="4" w:space="0"/>
              <w:bottom w:val="single" w:color="auto" w:sz="4" w:space="0"/>
              <w:right w:val="single" w:color="auto" w:sz="4" w:space="0"/>
            </w:tcBorders>
            <w:shd w:val="clear" w:color="auto" w:fill="E0E0E0"/>
            <w:noWrap w:val="0"/>
            <w:vAlign w:val="center"/>
          </w:tcPr>
          <w:p>
            <w:pPr>
              <w:spacing w:line="320" w:lineRule="exact"/>
              <w:jc w:val="center"/>
              <w:rPr>
                <w:rFonts w:hint="eastAsia" w:ascii="宋体" w:hAnsi="宋体" w:cs="宋体"/>
                <w:b/>
                <w:szCs w:val="21"/>
                <w:shd w:val="pct10" w:color="auto" w:fill="FFFFFF"/>
              </w:rPr>
            </w:pPr>
            <w:r>
              <w:rPr>
                <w:rFonts w:hint="eastAsia" w:ascii="宋体" w:hAnsi="宋体" w:cs="宋体"/>
                <w:b/>
                <w:szCs w:val="21"/>
                <w:shd w:val="pct10" w:color="auto" w:fill="FFFFFF"/>
              </w:rPr>
              <w:t>2</w:t>
            </w:r>
          </w:p>
        </w:tc>
        <w:tc>
          <w:tcPr>
            <w:tcW w:w="1484" w:type="dxa"/>
            <w:tcBorders>
              <w:top w:val="single" w:color="auto" w:sz="4" w:space="0"/>
              <w:left w:val="single" w:color="auto" w:sz="4" w:space="0"/>
              <w:bottom w:val="single" w:color="auto" w:sz="4" w:space="0"/>
              <w:right w:val="single" w:color="auto" w:sz="4" w:space="0"/>
            </w:tcBorders>
            <w:shd w:val="clear" w:color="auto" w:fill="E0E0E0"/>
            <w:noWrap w:val="0"/>
            <w:vAlign w:val="center"/>
          </w:tcPr>
          <w:p>
            <w:pPr>
              <w:spacing w:line="320" w:lineRule="exact"/>
              <w:jc w:val="center"/>
              <w:rPr>
                <w:rFonts w:hint="eastAsia" w:ascii="宋体" w:hAnsi="宋体" w:cs="宋体"/>
                <w:b/>
                <w:szCs w:val="21"/>
                <w:shd w:val="pct10" w:color="auto" w:fill="FFFFFF"/>
              </w:rPr>
            </w:pPr>
            <w:r>
              <w:rPr>
                <w:rFonts w:hint="eastAsia" w:ascii="宋体" w:hAnsi="宋体" w:cs="宋体"/>
                <w:b/>
                <w:szCs w:val="21"/>
                <w:shd w:val="pct10" w:color="auto" w:fill="FFFFFF"/>
              </w:rPr>
              <w:t>采购人名称</w:t>
            </w:r>
          </w:p>
        </w:tc>
        <w:tc>
          <w:tcPr>
            <w:tcW w:w="797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320" w:lineRule="exact"/>
              <w:rPr>
                <w:rFonts w:hint="eastAsia" w:ascii="宋体" w:hAnsi="宋体" w:cs="宋体"/>
                <w:szCs w:val="21"/>
              </w:rPr>
            </w:pPr>
            <w:r>
              <w:rPr>
                <w:rFonts w:hint="eastAsia" w:ascii="宋体" w:hAnsi="宋体" w:cs="宋体"/>
                <w:szCs w:val="21"/>
              </w:rPr>
              <w:t>浙江省岱山县第一人民医院</w:t>
            </w:r>
          </w:p>
        </w:tc>
      </w:tr>
      <w:tr>
        <w:tblPrEx>
          <w:tblCellMar>
            <w:top w:w="15" w:type="dxa"/>
            <w:left w:w="15" w:type="dxa"/>
            <w:bottom w:w="15" w:type="dxa"/>
            <w:right w:w="15" w:type="dxa"/>
          </w:tblCellMar>
        </w:tblPrEx>
        <w:trPr>
          <w:trHeight w:val="422" w:hRule="atLeast"/>
          <w:tblCellSpacing w:w="7" w:type="dxa"/>
          <w:jc w:val="center"/>
        </w:trPr>
        <w:tc>
          <w:tcPr>
            <w:tcW w:w="682" w:type="dxa"/>
            <w:tcBorders>
              <w:top w:val="single" w:color="auto" w:sz="4" w:space="0"/>
              <w:left w:val="single" w:color="auto" w:sz="4" w:space="0"/>
              <w:bottom w:val="single" w:color="auto" w:sz="4" w:space="0"/>
              <w:right w:val="single" w:color="auto" w:sz="4" w:space="0"/>
            </w:tcBorders>
            <w:shd w:val="clear" w:color="auto" w:fill="E0E0E0"/>
            <w:noWrap w:val="0"/>
            <w:vAlign w:val="center"/>
          </w:tcPr>
          <w:p>
            <w:pPr>
              <w:spacing w:line="320" w:lineRule="exact"/>
              <w:jc w:val="center"/>
              <w:rPr>
                <w:rFonts w:hint="eastAsia" w:ascii="宋体" w:hAnsi="宋体" w:cs="宋体"/>
                <w:b/>
                <w:szCs w:val="21"/>
                <w:shd w:val="pct10" w:color="auto" w:fill="FFFFFF"/>
              </w:rPr>
            </w:pPr>
            <w:r>
              <w:rPr>
                <w:rFonts w:hint="eastAsia" w:ascii="宋体" w:hAnsi="宋体" w:cs="宋体"/>
                <w:b/>
                <w:szCs w:val="21"/>
                <w:shd w:val="pct10" w:color="auto" w:fill="FFFFFF"/>
              </w:rPr>
              <w:t>3</w:t>
            </w:r>
          </w:p>
        </w:tc>
        <w:tc>
          <w:tcPr>
            <w:tcW w:w="1484" w:type="dxa"/>
            <w:tcBorders>
              <w:top w:val="single" w:color="auto" w:sz="4" w:space="0"/>
              <w:left w:val="single" w:color="auto" w:sz="4" w:space="0"/>
              <w:bottom w:val="single" w:color="auto" w:sz="4" w:space="0"/>
              <w:right w:val="single" w:color="auto" w:sz="4" w:space="0"/>
            </w:tcBorders>
            <w:shd w:val="clear" w:color="auto" w:fill="E0E0E0"/>
            <w:noWrap w:val="0"/>
            <w:vAlign w:val="center"/>
          </w:tcPr>
          <w:p>
            <w:pPr>
              <w:spacing w:line="320" w:lineRule="exact"/>
              <w:jc w:val="center"/>
              <w:rPr>
                <w:rFonts w:hint="eastAsia" w:ascii="宋体" w:hAnsi="宋体" w:cs="宋体"/>
                <w:b/>
                <w:szCs w:val="21"/>
                <w:shd w:val="pct10" w:color="auto" w:fill="FFFFFF"/>
              </w:rPr>
            </w:pPr>
            <w:r>
              <w:rPr>
                <w:rFonts w:hint="eastAsia" w:ascii="宋体" w:hAnsi="宋体" w:cs="宋体"/>
                <w:b/>
                <w:szCs w:val="21"/>
                <w:shd w:val="pct10" w:color="auto" w:fill="FFFFFF"/>
              </w:rPr>
              <w:t>采购内容</w:t>
            </w:r>
          </w:p>
        </w:tc>
        <w:tc>
          <w:tcPr>
            <w:tcW w:w="797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320" w:lineRule="exact"/>
              <w:rPr>
                <w:rFonts w:ascii="宋体" w:hAnsi="宋体" w:cs="宋体"/>
                <w:szCs w:val="21"/>
              </w:rPr>
            </w:pPr>
            <w:r>
              <w:rPr>
                <w:rFonts w:hint="eastAsia"/>
              </w:rPr>
              <w:t>详见采购需求</w:t>
            </w:r>
          </w:p>
        </w:tc>
      </w:tr>
      <w:tr>
        <w:tblPrEx>
          <w:tblCellMar>
            <w:top w:w="15" w:type="dxa"/>
            <w:left w:w="15" w:type="dxa"/>
            <w:bottom w:w="15" w:type="dxa"/>
            <w:right w:w="15" w:type="dxa"/>
          </w:tblCellMar>
        </w:tblPrEx>
        <w:trPr>
          <w:trHeight w:val="422" w:hRule="atLeast"/>
          <w:tblCellSpacing w:w="7" w:type="dxa"/>
          <w:jc w:val="center"/>
        </w:trPr>
        <w:tc>
          <w:tcPr>
            <w:tcW w:w="682" w:type="dxa"/>
            <w:tcBorders>
              <w:top w:val="single" w:color="auto" w:sz="4" w:space="0"/>
              <w:left w:val="single" w:color="auto" w:sz="4" w:space="0"/>
              <w:bottom w:val="single" w:color="auto" w:sz="4" w:space="0"/>
              <w:right w:val="single" w:color="auto" w:sz="4" w:space="0"/>
            </w:tcBorders>
            <w:shd w:val="clear" w:color="auto" w:fill="E0E0E0"/>
            <w:noWrap w:val="0"/>
            <w:vAlign w:val="center"/>
          </w:tcPr>
          <w:p>
            <w:pPr>
              <w:spacing w:line="320" w:lineRule="exact"/>
              <w:jc w:val="center"/>
              <w:rPr>
                <w:rFonts w:hint="eastAsia" w:ascii="宋体" w:hAnsi="宋体" w:cs="宋体"/>
                <w:b/>
                <w:szCs w:val="21"/>
                <w:shd w:val="pct10" w:color="auto" w:fill="FFFFFF"/>
              </w:rPr>
            </w:pPr>
            <w:r>
              <w:rPr>
                <w:rFonts w:hint="eastAsia" w:ascii="宋体" w:hAnsi="宋体" w:cs="宋体"/>
                <w:b/>
                <w:szCs w:val="21"/>
                <w:shd w:val="pct10" w:color="auto" w:fill="FFFFFF"/>
              </w:rPr>
              <w:t>4</w:t>
            </w:r>
          </w:p>
        </w:tc>
        <w:tc>
          <w:tcPr>
            <w:tcW w:w="1484" w:type="dxa"/>
            <w:tcBorders>
              <w:top w:val="single" w:color="auto" w:sz="4" w:space="0"/>
              <w:left w:val="single" w:color="auto" w:sz="4" w:space="0"/>
              <w:bottom w:val="single" w:color="auto" w:sz="4" w:space="0"/>
              <w:right w:val="single" w:color="auto" w:sz="4" w:space="0"/>
            </w:tcBorders>
            <w:shd w:val="clear" w:color="auto" w:fill="E0E0E0"/>
            <w:noWrap w:val="0"/>
            <w:vAlign w:val="center"/>
          </w:tcPr>
          <w:p>
            <w:pPr>
              <w:spacing w:line="320" w:lineRule="exact"/>
              <w:jc w:val="center"/>
              <w:rPr>
                <w:rFonts w:hint="eastAsia" w:ascii="宋体" w:hAnsi="宋体" w:cs="宋体"/>
                <w:b/>
                <w:szCs w:val="21"/>
                <w:shd w:val="pct10" w:color="auto" w:fill="FFFFFF"/>
              </w:rPr>
            </w:pPr>
            <w:r>
              <w:rPr>
                <w:rFonts w:hint="eastAsia" w:ascii="宋体" w:hAnsi="宋体" w:cs="宋体"/>
                <w:b/>
                <w:szCs w:val="21"/>
                <w:shd w:val="pct10" w:color="auto" w:fill="FFFFFF"/>
              </w:rPr>
              <w:t>预算金额</w:t>
            </w:r>
          </w:p>
        </w:tc>
        <w:tc>
          <w:tcPr>
            <w:tcW w:w="797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320" w:lineRule="exact"/>
              <w:rPr>
                <w:rFonts w:hint="default" w:ascii="宋体" w:hAnsi="宋体" w:eastAsia="宋体" w:cs="宋体"/>
                <w:szCs w:val="21"/>
                <w:lang w:val="en-US" w:eastAsia="zh-CN"/>
              </w:rPr>
            </w:pPr>
            <w:r>
              <w:rPr>
                <w:rFonts w:hint="eastAsia" w:ascii="宋体" w:hAnsi="宋体" w:cs="宋体"/>
                <w:szCs w:val="21"/>
              </w:rPr>
              <w:t>本项目采购预算</w:t>
            </w:r>
            <w:r>
              <w:rPr>
                <w:rFonts w:hint="eastAsia" w:ascii="宋体" w:hAnsi="宋体" w:cs="宋体"/>
                <w:szCs w:val="21"/>
                <w:lang w:val="en-US" w:eastAsia="zh-CN"/>
              </w:rPr>
              <w:t>19.9</w:t>
            </w:r>
            <w:r>
              <w:rPr>
                <w:rFonts w:hint="eastAsia" w:ascii="宋体" w:hAnsi="宋体" w:cs="宋体"/>
                <w:szCs w:val="21"/>
              </w:rPr>
              <w:t>万元</w:t>
            </w:r>
          </w:p>
        </w:tc>
      </w:tr>
      <w:tr>
        <w:tblPrEx>
          <w:tblCellMar>
            <w:top w:w="15" w:type="dxa"/>
            <w:left w:w="15" w:type="dxa"/>
            <w:bottom w:w="15" w:type="dxa"/>
            <w:right w:w="15" w:type="dxa"/>
          </w:tblCellMar>
        </w:tblPrEx>
        <w:trPr>
          <w:trHeight w:val="422" w:hRule="atLeast"/>
          <w:tblCellSpacing w:w="7" w:type="dxa"/>
          <w:jc w:val="center"/>
        </w:trPr>
        <w:tc>
          <w:tcPr>
            <w:tcW w:w="682" w:type="dxa"/>
            <w:tcBorders>
              <w:top w:val="single" w:color="auto" w:sz="4" w:space="0"/>
              <w:left w:val="single" w:color="auto" w:sz="4" w:space="0"/>
              <w:bottom w:val="single" w:color="auto" w:sz="4" w:space="0"/>
              <w:right w:val="single" w:color="auto" w:sz="4" w:space="0"/>
            </w:tcBorders>
            <w:shd w:val="clear" w:color="auto" w:fill="E0E0E0"/>
            <w:noWrap w:val="0"/>
            <w:vAlign w:val="center"/>
          </w:tcPr>
          <w:p>
            <w:pPr>
              <w:spacing w:line="320" w:lineRule="exact"/>
              <w:jc w:val="center"/>
              <w:rPr>
                <w:rFonts w:hint="eastAsia" w:ascii="宋体" w:hAnsi="宋体" w:cs="宋体"/>
                <w:b/>
                <w:szCs w:val="21"/>
                <w:shd w:val="pct10" w:color="auto" w:fill="FFFFFF"/>
              </w:rPr>
            </w:pPr>
            <w:r>
              <w:rPr>
                <w:rFonts w:hint="eastAsia" w:ascii="宋体" w:hAnsi="宋体" w:cs="宋体"/>
                <w:b/>
                <w:szCs w:val="21"/>
                <w:shd w:val="pct10" w:color="auto" w:fill="FFFFFF"/>
              </w:rPr>
              <w:t>5</w:t>
            </w:r>
          </w:p>
        </w:tc>
        <w:tc>
          <w:tcPr>
            <w:tcW w:w="1484" w:type="dxa"/>
            <w:tcBorders>
              <w:top w:val="single" w:color="auto" w:sz="4" w:space="0"/>
              <w:left w:val="single" w:color="auto" w:sz="4" w:space="0"/>
              <w:bottom w:val="single" w:color="auto" w:sz="4" w:space="0"/>
              <w:right w:val="single" w:color="auto" w:sz="4" w:space="0"/>
            </w:tcBorders>
            <w:shd w:val="clear" w:color="auto" w:fill="E0E0E0"/>
            <w:noWrap w:val="0"/>
            <w:vAlign w:val="center"/>
          </w:tcPr>
          <w:p>
            <w:pPr>
              <w:spacing w:line="320" w:lineRule="exact"/>
              <w:jc w:val="center"/>
              <w:rPr>
                <w:rFonts w:hint="default" w:ascii="宋体" w:hAnsi="宋体" w:cs="宋体" w:eastAsiaTheme="minorEastAsia"/>
                <w:b/>
                <w:szCs w:val="21"/>
                <w:highlight w:val="yellow"/>
                <w:shd w:val="pct10" w:color="auto" w:fill="FFFFFF"/>
                <w:lang w:val="en-US" w:eastAsia="zh-CN"/>
              </w:rPr>
            </w:pPr>
            <w:r>
              <w:rPr>
                <w:rFonts w:hint="eastAsia" w:ascii="宋体" w:hAnsi="宋体" w:cs="宋体"/>
                <w:b/>
                <w:szCs w:val="21"/>
                <w:lang w:val="en-US" w:eastAsia="zh-CN"/>
              </w:rPr>
              <w:t>服务周期</w:t>
            </w:r>
          </w:p>
        </w:tc>
        <w:tc>
          <w:tcPr>
            <w:tcW w:w="797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320" w:lineRule="exact"/>
              <w:rPr>
                <w:rFonts w:hint="eastAsia" w:ascii="宋体" w:hAnsi="宋体" w:cs="宋体"/>
                <w:szCs w:val="21"/>
                <w:highlight w:val="yellow"/>
              </w:rPr>
            </w:pPr>
            <w:r>
              <w:rPr>
                <w:rFonts w:hint="eastAsia" w:ascii="宋体" w:hAnsi="宋体" w:cs="宋体"/>
                <w:szCs w:val="21"/>
              </w:rPr>
              <w:t>从合同签订日起算</w:t>
            </w:r>
            <w:r>
              <w:rPr>
                <w:rFonts w:hint="eastAsia" w:ascii="宋体" w:hAnsi="宋体" w:cs="宋体"/>
                <w:szCs w:val="21"/>
                <w:lang w:val="en-US" w:eastAsia="zh-CN"/>
              </w:rPr>
              <w:t>2</w:t>
            </w:r>
            <w:r>
              <w:rPr>
                <w:rFonts w:hint="eastAsia" w:ascii="宋体" w:hAnsi="宋体" w:cs="宋体"/>
                <w:szCs w:val="21"/>
              </w:rPr>
              <w:t>年。</w:t>
            </w:r>
          </w:p>
        </w:tc>
      </w:tr>
      <w:tr>
        <w:tblPrEx>
          <w:tblCellMar>
            <w:top w:w="15" w:type="dxa"/>
            <w:left w:w="15" w:type="dxa"/>
            <w:bottom w:w="15" w:type="dxa"/>
            <w:right w:w="15" w:type="dxa"/>
          </w:tblCellMar>
        </w:tblPrEx>
        <w:trPr>
          <w:trHeight w:val="422" w:hRule="atLeast"/>
          <w:tblCellSpacing w:w="7" w:type="dxa"/>
          <w:jc w:val="center"/>
        </w:trPr>
        <w:tc>
          <w:tcPr>
            <w:tcW w:w="682" w:type="dxa"/>
            <w:tcBorders>
              <w:top w:val="single" w:color="auto" w:sz="4" w:space="0"/>
              <w:left w:val="single" w:color="auto" w:sz="4" w:space="0"/>
              <w:bottom w:val="single" w:color="auto" w:sz="4" w:space="0"/>
              <w:right w:val="single" w:color="auto" w:sz="4" w:space="0"/>
            </w:tcBorders>
            <w:shd w:val="clear" w:color="auto" w:fill="E0E0E0"/>
            <w:noWrap w:val="0"/>
            <w:vAlign w:val="center"/>
          </w:tcPr>
          <w:p>
            <w:pPr>
              <w:spacing w:line="320" w:lineRule="exact"/>
              <w:jc w:val="center"/>
              <w:rPr>
                <w:rFonts w:hint="eastAsia" w:ascii="宋体" w:hAnsi="宋体" w:cs="宋体"/>
                <w:b/>
                <w:szCs w:val="21"/>
                <w:shd w:val="pct10" w:color="auto" w:fill="FFFFFF"/>
              </w:rPr>
            </w:pPr>
            <w:r>
              <w:rPr>
                <w:rFonts w:hint="eastAsia" w:ascii="宋体" w:hAnsi="宋体" w:cs="宋体"/>
                <w:b/>
                <w:szCs w:val="21"/>
                <w:shd w:val="pct10" w:color="auto" w:fill="FFFFFF"/>
              </w:rPr>
              <w:t>6</w:t>
            </w:r>
          </w:p>
        </w:tc>
        <w:tc>
          <w:tcPr>
            <w:tcW w:w="1484" w:type="dxa"/>
            <w:tcBorders>
              <w:top w:val="single" w:color="auto" w:sz="4" w:space="0"/>
              <w:left w:val="single" w:color="auto" w:sz="4" w:space="0"/>
              <w:bottom w:val="single" w:color="auto" w:sz="4" w:space="0"/>
              <w:right w:val="single" w:color="auto" w:sz="4" w:space="0"/>
            </w:tcBorders>
            <w:shd w:val="clear" w:color="auto" w:fill="E0E0E0"/>
            <w:noWrap w:val="0"/>
            <w:vAlign w:val="center"/>
          </w:tcPr>
          <w:p>
            <w:pPr>
              <w:spacing w:line="320" w:lineRule="exact"/>
              <w:jc w:val="center"/>
              <w:rPr>
                <w:rFonts w:hint="eastAsia" w:ascii="宋体" w:hAnsi="宋体" w:cs="宋体"/>
                <w:b/>
                <w:szCs w:val="21"/>
                <w:shd w:val="pct10" w:color="auto" w:fill="FFFFFF"/>
              </w:rPr>
            </w:pPr>
            <w:r>
              <w:rPr>
                <w:rFonts w:hint="eastAsia" w:ascii="宋体" w:hAnsi="宋体" w:cs="宋体"/>
                <w:b/>
                <w:szCs w:val="21"/>
                <w:shd w:val="pct10" w:color="auto" w:fill="FFFFFF"/>
              </w:rPr>
              <w:t>投标有效期</w:t>
            </w:r>
          </w:p>
        </w:tc>
        <w:tc>
          <w:tcPr>
            <w:tcW w:w="797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320" w:lineRule="exact"/>
              <w:rPr>
                <w:rFonts w:hint="eastAsia" w:ascii="宋体" w:hAnsi="宋体" w:cs="宋体"/>
                <w:szCs w:val="21"/>
              </w:rPr>
            </w:pPr>
            <w:r>
              <w:rPr>
                <w:rFonts w:hint="eastAsia" w:ascii="宋体" w:hAnsi="宋体" w:cs="宋体"/>
                <w:szCs w:val="21"/>
                <w:u w:val="single"/>
              </w:rPr>
              <w:t>90日</w:t>
            </w:r>
            <w:r>
              <w:rPr>
                <w:rFonts w:hint="eastAsia" w:ascii="宋体" w:hAnsi="宋体" w:cs="宋体"/>
                <w:szCs w:val="21"/>
              </w:rPr>
              <w:t>历天。（从投标截止之日算起）</w:t>
            </w:r>
          </w:p>
        </w:tc>
      </w:tr>
      <w:tr>
        <w:tblPrEx>
          <w:tblCellMar>
            <w:top w:w="15" w:type="dxa"/>
            <w:left w:w="15" w:type="dxa"/>
            <w:bottom w:w="15" w:type="dxa"/>
            <w:right w:w="15" w:type="dxa"/>
          </w:tblCellMar>
        </w:tblPrEx>
        <w:trPr>
          <w:trHeight w:val="422" w:hRule="atLeast"/>
          <w:tblCellSpacing w:w="7" w:type="dxa"/>
          <w:jc w:val="center"/>
        </w:trPr>
        <w:tc>
          <w:tcPr>
            <w:tcW w:w="682" w:type="dxa"/>
            <w:tcBorders>
              <w:top w:val="single" w:color="auto" w:sz="4" w:space="0"/>
              <w:left w:val="single" w:color="auto" w:sz="4" w:space="0"/>
              <w:bottom w:val="single" w:color="auto" w:sz="4" w:space="0"/>
              <w:right w:val="single" w:color="auto" w:sz="4" w:space="0"/>
            </w:tcBorders>
            <w:shd w:val="clear" w:color="auto" w:fill="E0E0E0"/>
            <w:noWrap w:val="0"/>
            <w:vAlign w:val="center"/>
          </w:tcPr>
          <w:p>
            <w:pPr>
              <w:spacing w:line="320" w:lineRule="exact"/>
              <w:jc w:val="center"/>
              <w:rPr>
                <w:rFonts w:hint="eastAsia" w:ascii="宋体" w:hAnsi="宋体" w:cs="宋体"/>
                <w:b/>
                <w:szCs w:val="21"/>
                <w:shd w:val="pct10" w:color="auto" w:fill="FFFFFF"/>
              </w:rPr>
            </w:pPr>
            <w:r>
              <w:rPr>
                <w:rFonts w:hint="eastAsia" w:ascii="宋体" w:hAnsi="宋体" w:cs="宋体"/>
                <w:b/>
                <w:szCs w:val="21"/>
                <w:shd w:val="pct10" w:color="auto" w:fill="FFFFFF"/>
              </w:rPr>
              <w:t>7</w:t>
            </w:r>
          </w:p>
        </w:tc>
        <w:tc>
          <w:tcPr>
            <w:tcW w:w="1484" w:type="dxa"/>
            <w:tcBorders>
              <w:top w:val="single" w:color="auto" w:sz="4" w:space="0"/>
              <w:left w:val="single" w:color="auto" w:sz="4" w:space="0"/>
              <w:bottom w:val="single" w:color="auto" w:sz="4" w:space="0"/>
              <w:right w:val="single" w:color="auto" w:sz="4" w:space="0"/>
            </w:tcBorders>
            <w:shd w:val="clear" w:color="auto" w:fill="E0E0E0"/>
            <w:noWrap w:val="0"/>
            <w:vAlign w:val="center"/>
          </w:tcPr>
          <w:p>
            <w:pPr>
              <w:spacing w:line="320" w:lineRule="exact"/>
              <w:jc w:val="center"/>
              <w:rPr>
                <w:rFonts w:hint="eastAsia" w:ascii="宋体" w:hAnsi="宋体" w:cs="宋体"/>
                <w:b/>
                <w:szCs w:val="21"/>
                <w:shd w:val="pct10" w:color="auto" w:fill="FFFFFF"/>
              </w:rPr>
            </w:pPr>
            <w:r>
              <w:rPr>
                <w:rFonts w:hint="eastAsia" w:ascii="宋体" w:hAnsi="宋体" w:cs="宋体"/>
                <w:b/>
                <w:szCs w:val="21"/>
                <w:shd w:val="pct10" w:color="auto" w:fill="FFFFFF"/>
              </w:rPr>
              <w:t>评标办法</w:t>
            </w:r>
          </w:p>
        </w:tc>
        <w:tc>
          <w:tcPr>
            <w:tcW w:w="797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320" w:lineRule="exact"/>
              <w:rPr>
                <w:rFonts w:hint="eastAsia" w:ascii="宋体" w:hAnsi="宋体" w:cs="宋体"/>
                <w:szCs w:val="21"/>
              </w:rPr>
            </w:pPr>
            <w:r>
              <w:rPr>
                <w:rFonts w:hint="eastAsia" w:ascii="宋体" w:hAnsi="宋体" w:cs="宋体"/>
                <w:szCs w:val="21"/>
              </w:rPr>
              <w:t>综合评分法</w:t>
            </w:r>
          </w:p>
        </w:tc>
      </w:tr>
      <w:tr>
        <w:tblPrEx>
          <w:tblCellMar>
            <w:top w:w="15" w:type="dxa"/>
            <w:left w:w="15" w:type="dxa"/>
            <w:bottom w:w="15" w:type="dxa"/>
            <w:right w:w="15" w:type="dxa"/>
          </w:tblCellMar>
        </w:tblPrEx>
        <w:trPr>
          <w:trHeight w:val="774" w:hRule="atLeast"/>
          <w:tblCellSpacing w:w="7" w:type="dxa"/>
          <w:jc w:val="center"/>
        </w:trPr>
        <w:tc>
          <w:tcPr>
            <w:tcW w:w="682" w:type="dxa"/>
            <w:tcBorders>
              <w:top w:val="single" w:color="auto" w:sz="4" w:space="0"/>
              <w:left w:val="single" w:color="auto" w:sz="4" w:space="0"/>
              <w:bottom w:val="single" w:color="auto" w:sz="4" w:space="0"/>
              <w:right w:val="single" w:color="auto" w:sz="4" w:space="0"/>
            </w:tcBorders>
            <w:shd w:val="clear" w:color="auto" w:fill="E0E0E0"/>
            <w:noWrap w:val="0"/>
            <w:vAlign w:val="center"/>
          </w:tcPr>
          <w:p>
            <w:pPr>
              <w:jc w:val="center"/>
              <w:rPr>
                <w:rFonts w:hint="eastAsia" w:ascii="宋体" w:hAnsi="宋体" w:cs="宋体"/>
                <w:b/>
                <w:szCs w:val="21"/>
                <w:shd w:val="pct10" w:color="auto" w:fill="FFFFFF"/>
              </w:rPr>
            </w:pPr>
            <w:r>
              <w:rPr>
                <w:rFonts w:hint="eastAsia" w:ascii="宋体" w:hAnsi="宋体"/>
                <w:b/>
                <w:szCs w:val="21"/>
              </w:rPr>
              <w:t>8</w:t>
            </w:r>
          </w:p>
        </w:tc>
        <w:tc>
          <w:tcPr>
            <w:tcW w:w="1484" w:type="dxa"/>
            <w:tcBorders>
              <w:top w:val="single" w:color="auto" w:sz="4" w:space="0"/>
              <w:left w:val="single" w:color="auto" w:sz="4" w:space="0"/>
              <w:bottom w:val="single" w:color="auto" w:sz="4" w:space="0"/>
              <w:right w:val="single" w:color="auto" w:sz="4" w:space="0"/>
            </w:tcBorders>
            <w:shd w:val="clear" w:color="auto" w:fill="E0E0E0"/>
            <w:noWrap w:val="0"/>
            <w:vAlign w:val="center"/>
          </w:tcPr>
          <w:p>
            <w:pPr>
              <w:spacing w:line="320" w:lineRule="exact"/>
              <w:jc w:val="center"/>
              <w:rPr>
                <w:rFonts w:hint="eastAsia" w:ascii="宋体" w:hAnsi="宋体" w:cs="宋体"/>
                <w:b/>
                <w:sz w:val="18"/>
                <w:szCs w:val="18"/>
              </w:rPr>
            </w:pPr>
            <w:r>
              <w:rPr>
                <w:rFonts w:hint="eastAsia" w:ascii="宋体" w:hAnsi="宋体" w:cs="宋体"/>
                <w:b/>
                <w:szCs w:val="21"/>
                <w:shd w:val="pct10" w:color="auto" w:fill="FFFFFF"/>
              </w:rPr>
              <w:t>付款方式</w:t>
            </w:r>
          </w:p>
        </w:tc>
        <w:tc>
          <w:tcPr>
            <w:tcW w:w="797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320" w:lineRule="exact"/>
              <w:rPr>
                <w:rFonts w:hint="eastAsia" w:ascii="宋体" w:hAnsi="宋体" w:cs="宋体"/>
                <w:szCs w:val="21"/>
              </w:rPr>
            </w:pPr>
            <w:r>
              <w:rPr>
                <w:rFonts w:hint="eastAsia" w:ascii="宋体" w:hAnsi="宋体" w:cs="宋体"/>
                <w:szCs w:val="21"/>
              </w:rPr>
              <w:t>合同签订后15日内甲方向乙方支付合同总额的</w:t>
            </w:r>
            <w:r>
              <w:rPr>
                <w:rFonts w:hint="eastAsia" w:ascii="宋体" w:hAnsi="宋体" w:cs="宋体"/>
                <w:szCs w:val="21"/>
                <w:lang w:val="en-US" w:eastAsia="zh-CN"/>
              </w:rPr>
              <w:t>30</w:t>
            </w:r>
            <w:r>
              <w:rPr>
                <w:rFonts w:hint="eastAsia" w:ascii="宋体" w:hAnsi="宋体" w:cs="宋体"/>
                <w:szCs w:val="21"/>
              </w:rPr>
              <w:t>%的预付款；系统稳定运行</w:t>
            </w:r>
            <w:r>
              <w:rPr>
                <w:rFonts w:hint="eastAsia" w:ascii="宋体" w:hAnsi="宋体" w:cs="宋体"/>
                <w:szCs w:val="21"/>
                <w:lang w:eastAsia="zh-CN"/>
              </w:rPr>
              <w:t>并验收合格后付</w:t>
            </w:r>
            <w:r>
              <w:rPr>
                <w:rFonts w:hint="eastAsia" w:ascii="宋体" w:hAnsi="宋体" w:cs="宋体"/>
                <w:szCs w:val="21"/>
                <w:lang w:val="en-US" w:eastAsia="zh-CN"/>
              </w:rPr>
              <w:t>60%；一年后</w:t>
            </w:r>
            <w:r>
              <w:rPr>
                <w:rFonts w:hint="eastAsia" w:ascii="宋体" w:hAnsi="宋体" w:cs="宋体"/>
                <w:szCs w:val="21"/>
              </w:rPr>
              <w:t>，甲方向乙方支付合同总额的10%货款。</w:t>
            </w:r>
          </w:p>
          <w:p>
            <w:pPr>
              <w:spacing w:line="320" w:lineRule="exact"/>
              <w:rPr>
                <w:rFonts w:hint="eastAsia"/>
                <w:lang w:bidi="ar"/>
              </w:rPr>
            </w:pPr>
            <w:r>
              <w:rPr>
                <w:rFonts w:hint="eastAsia" w:ascii="宋体" w:hAnsi="宋体" w:cs="宋体"/>
                <w:szCs w:val="21"/>
              </w:rPr>
              <w:t>采购人付款前，首先收到投标人提供的符合采购人要求的相应财务票据，否则因此造成的付款延误，由投标人自行承担。</w:t>
            </w:r>
          </w:p>
        </w:tc>
      </w:tr>
      <w:tr>
        <w:tblPrEx>
          <w:tblCellMar>
            <w:top w:w="15" w:type="dxa"/>
            <w:left w:w="15" w:type="dxa"/>
            <w:bottom w:w="15" w:type="dxa"/>
            <w:right w:w="15" w:type="dxa"/>
          </w:tblCellMar>
        </w:tblPrEx>
        <w:trPr>
          <w:trHeight w:val="774" w:hRule="atLeast"/>
          <w:tblCellSpacing w:w="7" w:type="dxa"/>
          <w:jc w:val="center"/>
        </w:trPr>
        <w:tc>
          <w:tcPr>
            <w:tcW w:w="682" w:type="dxa"/>
            <w:tcBorders>
              <w:top w:val="single" w:color="auto" w:sz="4" w:space="0"/>
              <w:left w:val="single" w:color="auto" w:sz="4" w:space="0"/>
              <w:bottom w:val="single" w:color="auto" w:sz="4" w:space="0"/>
              <w:right w:val="single" w:color="auto" w:sz="4" w:space="0"/>
            </w:tcBorders>
            <w:shd w:val="clear" w:color="auto" w:fill="E0E0E0"/>
            <w:noWrap w:val="0"/>
            <w:vAlign w:val="center"/>
          </w:tcPr>
          <w:p>
            <w:pPr>
              <w:spacing w:line="320" w:lineRule="exact"/>
              <w:jc w:val="center"/>
              <w:rPr>
                <w:rFonts w:hint="eastAsia" w:ascii="宋体" w:hAnsi="宋体" w:cs="宋体"/>
                <w:b/>
                <w:szCs w:val="21"/>
                <w:shd w:val="pct10" w:color="auto" w:fill="FFFFFF"/>
              </w:rPr>
            </w:pPr>
            <w:r>
              <w:rPr>
                <w:rFonts w:hint="eastAsia" w:ascii="宋体" w:hAnsi="宋体" w:cs="宋体"/>
                <w:b/>
                <w:szCs w:val="21"/>
                <w:shd w:val="pct10" w:color="auto" w:fill="FFFFFF"/>
              </w:rPr>
              <w:t>9</w:t>
            </w:r>
          </w:p>
        </w:tc>
        <w:tc>
          <w:tcPr>
            <w:tcW w:w="1484" w:type="dxa"/>
            <w:tcBorders>
              <w:top w:val="single" w:color="auto" w:sz="4" w:space="0"/>
              <w:left w:val="single" w:color="auto" w:sz="4" w:space="0"/>
              <w:bottom w:val="single" w:color="auto" w:sz="4" w:space="0"/>
              <w:right w:val="single" w:color="auto" w:sz="4" w:space="0"/>
            </w:tcBorders>
            <w:shd w:val="clear" w:color="auto" w:fill="E0E0E0"/>
            <w:noWrap w:val="0"/>
            <w:vAlign w:val="center"/>
          </w:tcPr>
          <w:p>
            <w:pPr>
              <w:spacing w:line="320" w:lineRule="exact"/>
              <w:jc w:val="center"/>
              <w:rPr>
                <w:rFonts w:hint="eastAsia" w:ascii="宋体" w:hAnsi="宋体" w:cs="宋体"/>
                <w:b/>
                <w:szCs w:val="21"/>
                <w:shd w:val="pct10" w:color="auto" w:fill="FFFFFF"/>
              </w:rPr>
            </w:pPr>
            <w:r>
              <w:rPr>
                <w:rFonts w:hint="eastAsia" w:ascii="宋体" w:hAnsi="宋体" w:cs="宋体"/>
                <w:b/>
                <w:szCs w:val="21"/>
                <w:shd w:val="pct10" w:color="auto" w:fill="FFFFFF"/>
              </w:rPr>
              <w:t>投标报价</w:t>
            </w:r>
          </w:p>
          <w:p>
            <w:pPr>
              <w:spacing w:line="320" w:lineRule="exact"/>
              <w:jc w:val="center"/>
              <w:rPr>
                <w:rFonts w:hint="eastAsia" w:ascii="宋体" w:hAnsi="宋体" w:cs="宋体"/>
                <w:b/>
                <w:szCs w:val="21"/>
                <w:shd w:val="pct10" w:color="auto" w:fill="FFFFFF"/>
              </w:rPr>
            </w:pPr>
            <w:r>
              <w:rPr>
                <w:rFonts w:hint="eastAsia" w:ascii="宋体" w:hAnsi="宋体" w:cs="宋体"/>
                <w:b/>
                <w:szCs w:val="21"/>
                <w:shd w:val="pct10" w:color="auto" w:fill="FFFFFF"/>
              </w:rPr>
              <w:t>与费用</w:t>
            </w:r>
          </w:p>
        </w:tc>
        <w:tc>
          <w:tcPr>
            <w:tcW w:w="797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320" w:lineRule="exact"/>
              <w:rPr>
                <w:rFonts w:ascii="宋体" w:hAnsi="宋体" w:cs="宋体"/>
                <w:szCs w:val="21"/>
              </w:rPr>
            </w:pPr>
            <w:r>
              <w:rPr>
                <w:rFonts w:hint="eastAsia" w:ascii="宋体" w:hAnsi="宋体" w:cs="宋体"/>
                <w:szCs w:val="21"/>
              </w:rPr>
              <w:t>1、本项目的投标应以人民币报价，</w:t>
            </w:r>
            <w:r>
              <w:rPr>
                <w:rFonts w:ascii="宋体" w:hAnsi="宋体" w:cs="宋体"/>
                <w:szCs w:val="21"/>
              </w:rPr>
              <w:t>投标价应包括</w:t>
            </w:r>
            <w:r>
              <w:rPr>
                <w:rFonts w:hint="eastAsia" w:ascii="宋体" w:hAnsi="宋体" w:cs="宋体"/>
                <w:szCs w:val="21"/>
              </w:rPr>
              <w:t>完成本项目所需的一切费用，投标人须综合考虑进入报价。</w:t>
            </w:r>
          </w:p>
          <w:p>
            <w:pPr>
              <w:spacing w:line="320" w:lineRule="exact"/>
              <w:rPr>
                <w:rFonts w:hint="eastAsia" w:ascii="Calibri" w:hAnsi="Calibri"/>
              </w:rPr>
            </w:pPr>
            <w:r>
              <w:rPr>
                <w:rFonts w:hint="eastAsia" w:ascii="Calibri" w:hAnsi="Calibri"/>
              </w:rPr>
              <w:t>2、投标人应承担其参加本招标活动自身所发生的费用。</w:t>
            </w:r>
          </w:p>
          <w:p>
            <w:pPr>
              <w:spacing w:line="320" w:lineRule="exact"/>
              <w:rPr>
                <w:rFonts w:hint="eastAsia" w:ascii="Calibri" w:hAnsi="Calibri"/>
              </w:rPr>
            </w:pPr>
          </w:p>
        </w:tc>
      </w:tr>
      <w:tr>
        <w:tblPrEx>
          <w:tblCellMar>
            <w:top w:w="15" w:type="dxa"/>
            <w:left w:w="15" w:type="dxa"/>
            <w:bottom w:w="15" w:type="dxa"/>
            <w:right w:w="15" w:type="dxa"/>
          </w:tblCellMar>
        </w:tblPrEx>
        <w:trPr>
          <w:trHeight w:val="1855" w:hRule="atLeast"/>
          <w:tblCellSpacing w:w="7" w:type="dxa"/>
          <w:jc w:val="center"/>
        </w:trPr>
        <w:tc>
          <w:tcPr>
            <w:tcW w:w="682" w:type="dxa"/>
            <w:tcBorders>
              <w:top w:val="single" w:color="auto" w:sz="4" w:space="0"/>
              <w:left w:val="single" w:color="auto" w:sz="4" w:space="0"/>
              <w:bottom w:val="single" w:color="auto" w:sz="4" w:space="0"/>
              <w:right w:val="single" w:color="auto" w:sz="4" w:space="0"/>
            </w:tcBorders>
            <w:shd w:val="clear" w:color="auto" w:fill="E0E0E0"/>
            <w:noWrap w:val="0"/>
            <w:vAlign w:val="center"/>
          </w:tcPr>
          <w:p>
            <w:pPr>
              <w:spacing w:line="320" w:lineRule="exact"/>
              <w:jc w:val="center"/>
              <w:rPr>
                <w:rFonts w:ascii="宋体" w:hAnsi="宋体" w:cs="宋体"/>
                <w:b/>
                <w:szCs w:val="21"/>
                <w:shd w:val="pct10" w:color="auto" w:fill="FFFFFF"/>
              </w:rPr>
            </w:pPr>
            <w:r>
              <w:rPr>
                <w:rFonts w:hint="eastAsia" w:ascii="宋体" w:hAnsi="宋体" w:cs="宋体"/>
                <w:b/>
                <w:szCs w:val="21"/>
                <w:shd w:val="pct10" w:color="auto" w:fill="FFFFFF"/>
              </w:rPr>
              <w:t>10</w:t>
            </w:r>
          </w:p>
        </w:tc>
        <w:tc>
          <w:tcPr>
            <w:tcW w:w="1484" w:type="dxa"/>
            <w:tcBorders>
              <w:top w:val="single" w:color="auto" w:sz="4" w:space="0"/>
              <w:left w:val="single" w:color="auto" w:sz="4" w:space="0"/>
              <w:bottom w:val="single" w:color="auto" w:sz="4" w:space="0"/>
              <w:right w:val="single" w:color="auto" w:sz="4" w:space="0"/>
            </w:tcBorders>
            <w:shd w:val="clear" w:color="auto" w:fill="E0E0E0"/>
            <w:noWrap w:val="0"/>
            <w:vAlign w:val="center"/>
          </w:tcPr>
          <w:p>
            <w:pPr>
              <w:spacing w:line="320" w:lineRule="exact"/>
              <w:rPr>
                <w:rFonts w:hint="eastAsia" w:ascii="宋体" w:hAnsi="宋体" w:cs="宋体"/>
                <w:b/>
                <w:szCs w:val="21"/>
                <w:shd w:val="pct10" w:color="auto" w:fill="FFFFFF"/>
              </w:rPr>
            </w:pPr>
            <w:r>
              <w:rPr>
                <w:rFonts w:hint="eastAsia" w:ascii="宋体" w:hAnsi="宋体" w:cs="宋体"/>
                <w:b/>
                <w:szCs w:val="21"/>
                <w:shd w:val="pct10" w:color="auto" w:fill="FFFFFF"/>
              </w:rPr>
              <w:t>投标文件的组成、制作</w:t>
            </w:r>
          </w:p>
        </w:tc>
        <w:tc>
          <w:tcPr>
            <w:tcW w:w="797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320" w:lineRule="exact"/>
              <w:rPr>
                <w:rFonts w:hint="eastAsia" w:ascii="宋体" w:hAnsi="宋体" w:cs="宋体"/>
                <w:szCs w:val="21"/>
              </w:rPr>
            </w:pPr>
            <w:r>
              <w:rPr>
                <w:rFonts w:hint="eastAsia" w:ascii="宋体" w:hAnsi="宋体" w:cs="宋体"/>
                <w:szCs w:val="21"/>
              </w:rPr>
              <w:t>本项目实行</w:t>
            </w:r>
            <w:r>
              <w:rPr>
                <w:rFonts w:hint="eastAsia" w:ascii="宋体" w:hAnsi="宋体" w:cs="宋体"/>
                <w:szCs w:val="21"/>
                <w:lang w:eastAsia="zh-CN"/>
              </w:rPr>
              <w:t>现场</w:t>
            </w:r>
            <w:r>
              <w:rPr>
                <w:rFonts w:hint="eastAsia" w:ascii="宋体" w:hAnsi="宋体" w:cs="宋体"/>
                <w:szCs w:val="21"/>
              </w:rPr>
              <w:t>投标。</w:t>
            </w:r>
          </w:p>
          <w:p>
            <w:pPr>
              <w:spacing w:line="320" w:lineRule="exact"/>
              <w:rPr>
                <w:rFonts w:hint="eastAsia" w:ascii="宋体" w:hAnsi="宋体" w:cs="宋体"/>
                <w:szCs w:val="21"/>
              </w:rPr>
            </w:pPr>
            <w:r>
              <w:rPr>
                <w:rFonts w:hint="eastAsia" w:ascii="宋体" w:hAnsi="宋体" w:cs="宋体"/>
                <w:szCs w:val="21"/>
              </w:rPr>
              <w:t>投标人应准备</w:t>
            </w:r>
            <w:r>
              <w:rPr>
                <w:rFonts w:hint="eastAsia" w:ascii="宋体" w:hAnsi="宋体" w:cs="宋体"/>
                <w:szCs w:val="21"/>
                <w:lang w:eastAsia="zh-CN"/>
              </w:rPr>
              <w:t>纸质</w:t>
            </w:r>
            <w:r>
              <w:rPr>
                <w:rFonts w:hint="eastAsia" w:ascii="宋体" w:hAnsi="宋体" w:cs="宋体"/>
                <w:szCs w:val="21"/>
              </w:rPr>
              <w:t>投标文件</w:t>
            </w:r>
            <w:r>
              <w:rPr>
                <w:rFonts w:hint="eastAsia" w:ascii="宋体" w:hAnsi="宋体" w:cs="宋体"/>
                <w:szCs w:val="21"/>
                <w:lang w:eastAsia="zh-CN"/>
              </w:rPr>
              <w:t>：</w:t>
            </w:r>
            <w:r>
              <w:rPr>
                <w:rFonts w:hint="eastAsia" w:ascii="宋体" w:hAnsi="宋体" w:eastAsia="宋体" w:cs="宋体"/>
                <w:color w:val="FF0000"/>
                <w:kern w:val="0"/>
                <w:szCs w:val="21"/>
              </w:rPr>
              <w:t>将加</w:t>
            </w:r>
            <w:r>
              <w:rPr>
                <w:rFonts w:hint="eastAsia" w:ascii="宋体" w:hAnsi="宋体" w:eastAsia="宋体" w:cs="宋体"/>
                <w:color w:val="555555"/>
                <w:kern w:val="0"/>
                <w:szCs w:val="21"/>
              </w:rPr>
              <w:t>盖投标人鲜章的纸质版议标文件一正二副和</w:t>
            </w:r>
            <w:r>
              <w:rPr>
                <w:rFonts w:hint="eastAsia" w:ascii="宋体" w:hAnsi="宋体" w:eastAsia="宋体" w:cs="宋体"/>
                <w:b/>
                <w:bCs/>
                <w:color w:val="555555"/>
                <w:kern w:val="0"/>
              </w:rPr>
              <w:t>报价表一份（报价表须单独包装密封）</w:t>
            </w:r>
          </w:p>
          <w:p>
            <w:pPr>
              <w:rPr>
                <w:rFonts w:hint="eastAsia" w:ascii="宋体" w:hAnsi="宋体" w:cs="宋体"/>
                <w:szCs w:val="21"/>
              </w:rPr>
            </w:pPr>
            <w:r>
              <w:rPr>
                <w:rFonts w:hint="eastAsia" w:ascii="宋体" w:hAnsi="宋体" w:cs="宋体"/>
                <w:szCs w:val="21"/>
              </w:rPr>
              <w:t>投标文件均由投标报价文件、资格证明文件、商务技术文件组成。</w:t>
            </w:r>
          </w:p>
        </w:tc>
      </w:tr>
      <w:tr>
        <w:tblPrEx>
          <w:tblCellMar>
            <w:top w:w="15" w:type="dxa"/>
            <w:left w:w="15" w:type="dxa"/>
            <w:bottom w:w="15" w:type="dxa"/>
            <w:right w:w="15" w:type="dxa"/>
          </w:tblCellMar>
        </w:tblPrEx>
        <w:trPr>
          <w:trHeight w:val="501" w:hRule="atLeast"/>
          <w:tblCellSpacing w:w="7" w:type="dxa"/>
          <w:jc w:val="center"/>
        </w:trPr>
        <w:tc>
          <w:tcPr>
            <w:tcW w:w="682" w:type="dxa"/>
            <w:tcBorders>
              <w:top w:val="single" w:color="auto" w:sz="4" w:space="0"/>
              <w:left w:val="single" w:color="auto" w:sz="4" w:space="0"/>
              <w:bottom w:val="single" w:color="auto" w:sz="4" w:space="0"/>
              <w:right w:val="single" w:color="auto" w:sz="4" w:space="0"/>
            </w:tcBorders>
            <w:shd w:val="clear" w:color="auto" w:fill="E0E0E0"/>
            <w:noWrap w:val="0"/>
            <w:vAlign w:val="center"/>
          </w:tcPr>
          <w:p>
            <w:pPr>
              <w:spacing w:line="320" w:lineRule="exact"/>
              <w:jc w:val="center"/>
              <w:rPr>
                <w:rFonts w:ascii="宋体" w:hAnsi="宋体" w:cs="宋体"/>
                <w:b/>
                <w:szCs w:val="21"/>
                <w:shd w:val="pct10" w:color="auto" w:fill="FFFFFF"/>
              </w:rPr>
            </w:pPr>
            <w:r>
              <w:rPr>
                <w:rFonts w:hint="eastAsia" w:ascii="宋体" w:hAnsi="宋体" w:cs="宋体"/>
                <w:b/>
                <w:szCs w:val="21"/>
                <w:shd w:val="pct10" w:color="auto" w:fill="FFFFFF"/>
              </w:rPr>
              <w:t>11</w:t>
            </w:r>
          </w:p>
        </w:tc>
        <w:tc>
          <w:tcPr>
            <w:tcW w:w="1484" w:type="dxa"/>
            <w:tcBorders>
              <w:top w:val="single" w:color="auto" w:sz="4" w:space="0"/>
              <w:left w:val="single" w:color="auto" w:sz="4" w:space="0"/>
              <w:bottom w:val="single" w:color="auto" w:sz="4" w:space="0"/>
              <w:right w:val="single" w:color="auto" w:sz="4" w:space="0"/>
            </w:tcBorders>
            <w:shd w:val="clear" w:color="auto" w:fill="E0E0E0"/>
            <w:noWrap w:val="0"/>
            <w:vAlign w:val="center"/>
          </w:tcPr>
          <w:p>
            <w:pPr>
              <w:spacing w:line="320" w:lineRule="exact"/>
              <w:jc w:val="center"/>
              <w:rPr>
                <w:rFonts w:hint="eastAsia" w:ascii="宋体" w:hAnsi="宋体" w:cs="宋体"/>
                <w:b/>
                <w:szCs w:val="21"/>
                <w:shd w:val="pct10" w:color="auto" w:fill="FFFFFF"/>
              </w:rPr>
            </w:pPr>
            <w:r>
              <w:rPr>
                <w:rFonts w:hint="eastAsia" w:ascii="宋体" w:hAnsi="宋体" w:cs="宋体"/>
                <w:b/>
                <w:szCs w:val="21"/>
                <w:shd w:val="pct10" w:color="auto" w:fill="FFFFFF"/>
              </w:rPr>
              <w:t>投标文件递交方式</w:t>
            </w:r>
          </w:p>
        </w:tc>
        <w:tc>
          <w:tcPr>
            <w:tcW w:w="797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ordWrap w:val="0"/>
              <w:spacing w:line="360" w:lineRule="exact"/>
              <w:rPr>
                <w:rFonts w:hint="eastAsia" w:ascii="宋体" w:hAnsi="宋体" w:eastAsia="宋体" w:cs="宋体"/>
                <w:color w:val="555555"/>
                <w:kern w:val="0"/>
                <w:szCs w:val="21"/>
              </w:rPr>
            </w:pPr>
            <w:r>
              <w:rPr>
                <w:rFonts w:hint="eastAsia" w:ascii="宋体" w:hAnsi="宋体" w:eastAsia="宋体" w:cs="宋体"/>
                <w:b/>
                <w:bCs/>
                <w:color w:val="555555"/>
                <w:kern w:val="0"/>
                <w:lang w:val="en-US" w:eastAsia="zh-CN"/>
              </w:rPr>
              <w:t>1、</w:t>
            </w:r>
            <w:r>
              <w:rPr>
                <w:rFonts w:hint="eastAsia" w:ascii="宋体" w:hAnsi="宋体" w:eastAsia="宋体" w:cs="宋体"/>
                <w:b/>
                <w:bCs/>
                <w:color w:val="555555"/>
                <w:kern w:val="0"/>
              </w:rPr>
              <w:t>报名方式:</w:t>
            </w:r>
            <w:r>
              <w:rPr>
                <w:rFonts w:hint="eastAsia" w:ascii="宋体" w:hAnsi="宋体" w:eastAsia="宋体" w:cs="宋体"/>
                <w:color w:val="FF0000"/>
                <w:kern w:val="0"/>
                <w:szCs w:val="21"/>
              </w:rPr>
              <w:t>2024年</w:t>
            </w:r>
            <w:r>
              <w:rPr>
                <w:rFonts w:hint="eastAsia" w:ascii="宋体" w:hAnsi="宋体" w:eastAsia="宋体" w:cs="宋体"/>
                <w:color w:val="FF0000"/>
                <w:kern w:val="0"/>
                <w:szCs w:val="21"/>
                <w:lang w:val="en-US" w:eastAsia="zh-CN"/>
              </w:rPr>
              <w:t>3</w:t>
            </w:r>
            <w:r>
              <w:rPr>
                <w:rFonts w:hint="eastAsia" w:ascii="宋体" w:hAnsi="宋体" w:eastAsia="宋体" w:cs="宋体"/>
                <w:color w:val="FF0000"/>
                <w:kern w:val="0"/>
                <w:szCs w:val="21"/>
              </w:rPr>
              <w:t>月</w:t>
            </w:r>
            <w:r>
              <w:rPr>
                <w:rFonts w:hint="eastAsia" w:ascii="宋体" w:hAnsi="宋体" w:eastAsia="宋体" w:cs="宋体"/>
                <w:color w:val="FF0000"/>
                <w:kern w:val="0"/>
                <w:szCs w:val="21"/>
                <w:lang w:val="en-US" w:eastAsia="zh-CN"/>
              </w:rPr>
              <w:t>21</w:t>
            </w:r>
            <w:r>
              <w:rPr>
                <w:rFonts w:hint="eastAsia" w:ascii="宋体" w:hAnsi="宋体" w:eastAsia="宋体" w:cs="宋体"/>
                <w:color w:val="FF0000"/>
                <w:kern w:val="0"/>
                <w:szCs w:val="21"/>
              </w:rPr>
              <w:t>日17时0</w:t>
            </w:r>
            <w:r>
              <w:rPr>
                <w:rFonts w:hint="eastAsia" w:ascii="宋体" w:hAnsi="宋体" w:eastAsia="宋体" w:cs="宋体"/>
                <w:color w:val="555555"/>
                <w:kern w:val="0"/>
                <w:szCs w:val="21"/>
              </w:rPr>
              <w:t>0分</w:t>
            </w:r>
            <w:r>
              <w:rPr>
                <w:rFonts w:hint="eastAsia" w:ascii="宋体" w:hAnsi="宋体" w:eastAsia="宋体" w:cs="宋体"/>
                <w:color w:val="555555"/>
                <w:kern w:val="0"/>
                <w:szCs w:val="21"/>
                <w:lang w:eastAsia="zh-CN"/>
              </w:rPr>
              <w:t>前将</w:t>
            </w:r>
            <w:r>
              <w:rPr>
                <w:rFonts w:hint="eastAsia" w:ascii="宋体" w:hAnsi="宋体" w:eastAsia="宋体" w:cs="宋体"/>
                <w:color w:val="555555"/>
                <w:kern w:val="0"/>
                <w:szCs w:val="21"/>
              </w:rPr>
              <w:t>参加项目名称+投标公司名称+代表姓名和联系电话+法定代表人授权书、授权人身份证复印件、被授权人身份证复印件（议标时准备身份证原件）、营业执照复印件，以上报名资料均需加盖投标人鲜章，报名内容以PDF或word</w:t>
            </w:r>
            <w:r>
              <w:fldChar w:fldCharType="begin"/>
            </w:r>
            <w:r>
              <w:instrText xml:space="preserve"> HYPERLINK "mailto:%E5%8F%91%E8%87%B3%E9%82%AE%E7%AE%B1ZYCG149@163.com" </w:instrText>
            </w:r>
            <w:r>
              <w:fldChar w:fldCharType="separate"/>
            </w:r>
            <w:r>
              <w:rPr>
                <w:rFonts w:hint="eastAsia" w:ascii="宋体" w:hAnsi="宋体" w:eastAsia="宋体" w:cs="宋体"/>
                <w:color w:val="0000FF"/>
                <w:kern w:val="0"/>
                <w:u w:val="single"/>
              </w:rPr>
              <w:t>发至邮箱</w:t>
            </w:r>
            <w:r>
              <w:rPr>
                <w:rFonts w:hAnsi="宋体" w:cs="宋体"/>
              </w:rPr>
              <w:t>dsjkjt_cgzx</w:t>
            </w:r>
            <w:r>
              <w:rPr>
                <w:rFonts w:hAnsi="宋体" w:cs="宋体"/>
                <w:i/>
              </w:rPr>
              <w:t>@163.com</w:t>
            </w:r>
            <w:r>
              <w:rPr>
                <w:rFonts w:hAnsi="宋体" w:cs="宋体"/>
                <w:i/>
              </w:rPr>
              <w:fldChar w:fldCharType="end"/>
            </w:r>
            <w:r>
              <w:rPr>
                <w:rFonts w:hint="eastAsia" w:ascii="宋体" w:hAnsi="宋体" w:eastAsia="宋体" w:cs="宋体"/>
                <w:color w:val="555555"/>
                <w:kern w:val="0"/>
                <w:szCs w:val="21"/>
              </w:rPr>
              <w:t>，并电话确认</w:t>
            </w:r>
          </w:p>
          <w:p>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color w:val="FF0000"/>
                <w:kern w:val="0"/>
                <w:szCs w:val="21"/>
                <w:lang w:val="en-US" w:eastAsia="zh-CN"/>
              </w:rPr>
              <w:t>2、</w:t>
            </w:r>
            <w:r>
              <w:rPr>
                <w:rFonts w:hint="eastAsia" w:ascii="宋体" w:hAnsi="宋体" w:eastAsia="宋体" w:cs="宋体"/>
                <w:color w:val="FF0000"/>
                <w:kern w:val="0"/>
                <w:szCs w:val="21"/>
              </w:rPr>
              <w:t>投标人于202</w:t>
            </w:r>
            <w:r>
              <w:rPr>
                <w:rFonts w:hint="eastAsia" w:ascii="宋体" w:hAnsi="宋体" w:eastAsia="宋体" w:cs="宋体"/>
                <w:color w:val="FF0000"/>
                <w:kern w:val="0"/>
                <w:szCs w:val="21"/>
                <w:lang w:val="en-US" w:eastAsia="zh-CN"/>
              </w:rPr>
              <w:t>5</w:t>
            </w:r>
            <w:r>
              <w:rPr>
                <w:rFonts w:hint="eastAsia" w:ascii="宋体" w:hAnsi="宋体" w:eastAsia="宋体" w:cs="宋体"/>
                <w:color w:val="FF0000"/>
                <w:kern w:val="0"/>
                <w:szCs w:val="21"/>
              </w:rPr>
              <w:t>年</w:t>
            </w:r>
            <w:r>
              <w:rPr>
                <w:rFonts w:hint="eastAsia" w:ascii="宋体" w:hAnsi="宋体" w:eastAsia="宋体" w:cs="宋体"/>
                <w:color w:val="FF0000"/>
                <w:kern w:val="0"/>
                <w:szCs w:val="21"/>
                <w:lang w:val="en-US" w:eastAsia="zh-CN"/>
              </w:rPr>
              <w:t>3</w:t>
            </w:r>
            <w:r>
              <w:rPr>
                <w:rFonts w:hint="eastAsia" w:ascii="宋体" w:hAnsi="宋体" w:eastAsia="宋体" w:cs="宋体"/>
                <w:color w:val="FF0000"/>
                <w:kern w:val="0"/>
                <w:szCs w:val="21"/>
              </w:rPr>
              <w:t>月</w:t>
            </w:r>
            <w:r>
              <w:rPr>
                <w:rFonts w:hint="eastAsia" w:ascii="宋体" w:hAnsi="宋体" w:eastAsia="宋体" w:cs="宋体"/>
                <w:color w:val="FF0000"/>
                <w:kern w:val="0"/>
                <w:szCs w:val="21"/>
                <w:lang w:val="en-US" w:eastAsia="zh-CN"/>
              </w:rPr>
              <w:t>28</w:t>
            </w:r>
            <w:r>
              <w:rPr>
                <w:rFonts w:hint="eastAsia" w:ascii="宋体" w:hAnsi="宋体" w:eastAsia="宋体" w:cs="宋体"/>
                <w:color w:val="FF0000"/>
                <w:kern w:val="0"/>
                <w:szCs w:val="21"/>
              </w:rPr>
              <w:t>日下午2时00分至2时30分，将加</w:t>
            </w:r>
            <w:r>
              <w:rPr>
                <w:rFonts w:hint="eastAsia" w:ascii="宋体" w:hAnsi="宋体" w:eastAsia="宋体" w:cs="宋体"/>
                <w:color w:val="555555"/>
                <w:kern w:val="0"/>
                <w:szCs w:val="21"/>
              </w:rPr>
              <w:t>盖投标人鲜章的纸质版议标文件一正二副和</w:t>
            </w:r>
            <w:r>
              <w:rPr>
                <w:rFonts w:hint="eastAsia" w:ascii="宋体" w:hAnsi="宋体" w:eastAsia="宋体" w:cs="宋体"/>
                <w:b/>
                <w:bCs/>
                <w:color w:val="555555"/>
                <w:kern w:val="0"/>
              </w:rPr>
              <w:t>报价表一份（报价表须单独包装密封）</w:t>
            </w:r>
            <w:r>
              <w:rPr>
                <w:rFonts w:hint="eastAsia" w:ascii="宋体" w:hAnsi="宋体" w:eastAsia="宋体" w:cs="宋体"/>
                <w:color w:val="555555"/>
                <w:kern w:val="0"/>
                <w:szCs w:val="21"/>
              </w:rPr>
              <w:t>；提交到浙江省岱山县第一人民医院医技楼</w:t>
            </w:r>
            <w:r>
              <w:rPr>
                <w:rFonts w:hint="eastAsia" w:ascii="宋体" w:hAnsi="宋体" w:eastAsia="宋体" w:cs="宋体"/>
                <w:color w:val="555555"/>
                <w:kern w:val="0"/>
                <w:szCs w:val="21"/>
                <w:lang w:val="en-US" w:eastAsia="zh-CN"/>
              </w:rPr>
              <w:t>6</w:t>
            </w:r>
            <w:r>
              <w:rPr>
                <w:rFonts w:hint="eastAsia" w:ascii="宋体" w:hAnsi="宋体" w:eastAsia="宋体" w:cs="宋体"/>
                <w:color w:val="555555"/>
                <w:kern w:val="0"/>
                <w:szCs w:val="21"/>
              </w:rPr>
              <w:t>楼会议室，地址：浙江省岱山县高亭镇康健路88号。</w:t>
            </w:r>
          </w:p>
          <w:p>
            <w:pPr>
              <w:wordWrap w:val="0"/>
              <w:spacing w:line="360" w:lineRule="exact"/>
            </w:pPr>
            <w:r>
              <w:rPr>
                <w:rFonts w:hint="eastAsia"/>
                <w:lang w:val="en-US" w:eastAsia="zh-CN"/>
              </w:rPr>
              <w:t>3</w:t>
            </w:r>
            <w:r>
              <w:rPr>
                <w:rFonts w:hint="eastAsia"/>
              </w:rPr>
              <w:t>、投标人递交投标文件时，如出现下列情况之一的，</w:t>
            </w:r>
            <w:r>
              <w:rPr>
                <w:rFonts w:hint="eastAsia"/>
                <w:b/>
                <w:bCs/>
              </w:rPr>
              <w:t>将被拒收：</w:t>
            </w:r>
          </w:p>
          <w:p>
            <w:pPr>
              <w:wordWrap w:val="0"/>
              <w:spacing w:line="360" w:lineRule="exact"/>
            </w:pPr>
            <w:r>
              <w:rPr>
                <w:rFonts w:hint="eastAsia"/>
                <w:lang w:val="en-US" w:eastAsia="zh-CN"/>
              </w:rPr>
              <w:t>3</w:t>
            </w:r>
            <w:r>
              <w:rPr>
                <w:rFonts w:hint="eastAsia"/>
              </w:rPr>
              <w:t>.1未按规定密封或标记的投标文件；</w:t>
            </w:r>
          </w:p>
          <w:p>
            <w:pPr>
              <w:wordWrap w:val="0"/>
              <w:spacing w:line="360" w:lineRule="exact"/>
            </w:pPr>
            <w:r>
              <w:rPr>
                <w:rFonts w:hint="eastAsia"/>
                <w:lang w:val="en-US" w:eastAsia="zh-CN"/>
              </w:rPr>
              <w:t>3</w:t>
            </w:r>
            <w:r>
              <w:rPr>
                <w:rFonts w:hint="eastAsia"/>
              </w:rPr>
              <w:t>.2由于包装不妥，在送交途中严重损坏的；</w:t>
            </w:r>
          </w:p>
          <w:p>
            <w:pPr>
              <w:spacing w:line="320" w:lineRule="exact"/>
              <w:rPr>
                <w:rFonts w:hint="eastAsia" w:ascii="宋体" w:hAnsi="宋体" w:cs="宋体"/>
                <w:szCs w:val="21"/>
              </w:rPr>
            </w:pPr>
            <w:r>
              <w:rPr>
                <w:rFonts w:hint="eastAsia"/>
                <w:lang w:val="en-US" w:eastAsia="zh-CN"/>
              </w:rPr>
              <w:t>3</w:t>
            </w:r>
            <w:r>
              <w:rPr>
                <w:rFonts w:hint="eastAsia"/>
              </w:rPr>
              <w:t>.3超过规定时间送达的。</w:t>
            </w:r>
          </w:p>
        </w:tc>
      </w:tr>
      <w:tr>
        <w:tblPrEx>
          <w:tblCellMar>
            <w:top w:w="15" w:type="dxa"/>
            <w:left w:w="15" w:type="dxa"/>
            <w:bottom w:w="15" w:type="dxa"/>
            <w:right w:w="15" w:type="dxa"/>
          </w:tblCellMar>
        </w:tblPrEx>
        <w:trPr>
          <w:trHeight w:val="774" w:hRule="atLeast"/>
          <w:tblCellSpacing w:w="7" w:type="dxa"/>
          <w:jc w:val="center"/>
        </w:trPr>
        <w:tc>
          <w:tcPr>
            <w:tcW w:w="682" w:type="dxa"/>
            <w:tcBorders>
              <w:top w:val="single" w:color="auto" w:sz="4" w:space="0"/>
              <w:left w:val="single" w:color="auto" w:sz="4" w:space="0"/>
              <w:bottom w:val="single" w:color="auto" w:sz="4" w:space="0"/>
              <w:right w:val="single" w:color="auto" w:sz="4" w:space="0"/>
            </w:tcBorders>
            <w:shd w:val="clear" w:color="auto" w:fill="E0E0E0"/>
            <w:noWrap w:val="0"/>
            <w:vAlign w:val="center"/>
          </w:tcPr>
          <w:p>
            <w:pPr>
              <w:spacing w:line="320" w:lineRule="exact"/>
              <w:jc w:val="center"/>
              <w:rPr>
                <w:rFonts w:ascii="宋体" w:hAnsi="宋体" w:cs="宋体"/>
                <w:b/>
                <w:szCs w:val="21"/>
                <w:shd w:val="pct10" w:color="auto" w:fill="FFFFFF"/>
              </w:rPr>
            </w:pPr>
            <w:r>
              <w:rPr>
                <w:rFonts w:hint="eastAsia" w:ascii="宋体" w:hAnsi="宋体" w:cs="宋体"/>
                <w:b/>
                <w:szCs w:val="21"/>
                <w:shd w:val="pct10" w:color="auto" w:fill="FFFFFF"/>
              </w:rPr>
              <w:t>12</w:t>
            </w:r>
          </w:p>
        </w:tc>
        <w:tc>
          <w:tcPr>
            <w:tcW w:w="1484" w:type="dxa"/>
            <w:tcBorders>
              <w:top w:val="single" w:color="auto" w:sz="4" w:space="0"/>
              <w:left w:val="single" w:color="auto" w:sz="4" w:space="0"/>
              <w:bottom w:val="single" w:color="auto" w:sz="4" w:space="0"/>
              <w:right w:val="single" w:color="auto" w:sz="4" w:space="0"/>
            </w:tcBorders>
            <w:shd w:val="clear" w:color="auto" w:fill="E0E0E0"/>
            <w:noWrap w:val="0"/>
            <w:vAlign w:val="center"/>
          </w:tcPr>
          <w:p>
            <w:pPr>
              <w:spacing w:line="320" w:lineRule="exact"/>
              <w:jc w:val="center"/>
              <w:rPr>
                <w:rFonts w:hint="eastAsia" w:ascii="宋体" w:hAnsi="宋体" w:cs="宋体"/>
                <w:b/>
                <w:szCs w:val="21"/>
                <w:shd w:val="pct10" w:color="auto" w:fill="FFFFFF"/>
              </w:rPr>
            </w:pPr>
            <w:r>
              <w:rPr>
                <w:rFonts w:hint="eastAsia" w:ascii="宋体" w:hAnsi="宋体" w:cs="宋体"/>
                <w:b/>
                <w:szCs w:val="21"/>
                <w:shd w:val="pct10" w:color="auto" w:fill="FFFFFF"/>
              </w:rPr>
              <w:t>投标文件提交截止时间以及开标时间</w:t>
            </w:r>
          </w:p>
        </w:tc>
        <w:tc>
          <w:tcPr>
            <w:tcW w:w="797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320" w:lineRule="exact"/>
              <w:jc w:val="left"/>
              <w:rPr>
                <w:rFonts w:hint="eastAsia" w:ascii="宋体" w:hAnsi="宋体" w:cs="宋体"/>
                <w:b/>
                <w:szCs w:val="21"/>
              </w:rPr>
            </w:pPr>
            <w:r>
              <w:rPr>
                <w:rFonts w:hint="eastAsia" w:ascii="宋体" w:hAnsi="宋体" w:cs="宋体"/>
                <w:b/>
                <w:kern w:val="0"/>
                <w:szCs w:val="21"/>
                <w:highlight w:val="yellow"/>
              </w:rPr>
              <w:t>202</w:t>
            </w:r>
            <w:r>
              <w:rPr>
                <w:rFonts w:hint="eastAsia" w:ascii="宋体" w:hAnsi="宋体" w:cs="宋体"/>
                <w:b/>
                <w:kern w:val="0"/>
                <w:szCs w:val="21"/>
                <w:highlight w:val="yellow"/>
                <w:lang w:val="en-US" w:eastAsia="zh-CN"/>
              </w:rPr>
              <w:t>5</w:t>
            </w:r>
            <w:r>
              <w:rPr>
                <w:rFonts w:hint="eastAsia" w:ascii="宋体" w:hAnsi="宋体" w:cs="宋体"/>
                <w:b/>
                <w:kern w:val="0"/>
                <w:szCs w:val="21"/>
                <w:highlight w:val="yellow"/>
              </w:rPr>
              <w:t>年</w:t>
            </w:r>
            <w:r>
              <w:rPr>
                <w:rFonts w:hint="eastAsia" w:ascii="宋体" w:hAnsi="宋体" w:cs="宋体"/>
                <w:b/>
                <w:kern w:val="0"/>
                <w:szCs w:val="21"/>
                <w:highlight w:val="yellow"/>
                <w:lang w:val="en-US" w:eastAsia="zh-CN"/>
              </w:rPr>
              <w:t>3</w:t>
            </w:r>
            <w:r>
              <w:rPr>
                <w:rFonts w:hint="eastAsia" w:ascii="宋体" w:hAnsi="宋体" w:cs="宋体"/>
                <w:b/>
                <w:kern w:val="0"/>
                <w:szCs w:val="21"/>
                <w:highlight w:val="yellow"/>
              </w:rPr>
              <w:t>月</w:t>
            </w:r>
            <w:r>
              <w:rPr>
                <w:rFonts w:hint="eastAsia" w:ascii="宋体" w:hAnsi="宋体" w:cs="宋体"/>
                <w:b/>
                <w:kern w:val="0"/>
                <w:szCs w:val="21"/>
                <w:highlight w:val="yellow"/>
                <w:lang w:val="en-US" w:eastAsia="zh-CN"/>
              </w:rPr>
              <w:t>28</w:t>
            </w:r>
            <w:r>
              <w:rPr>
                <w:rFonts w:hint="eastAsia" w:ascii="宋体" w:hAnsi="宋体" w:cs="宋体"/>
                <w:b/>
                <w:kern w:val="0"/>
                <w:szCs w:val="21"/>
                <w:highlight w:val="yellow"/>
              </w:rPr>
              <w:t xml:space="preserve"> 日14:</w:t>
            </w:r>
            <w:r>
              <w:rPr>
                <w:rFonts w:hint="eastAsia" w:ascii="宋体" w:hAnsi="宋体" w:cs="宋体"/>
                <w:b/>
                <w:kern w:val="0"/>
                <w:szCs w:val="21"/>
                <w:highlight w:val="yellow"/>
                <w:lang w:val="en-US" w:eastAsia="zh-CN"/>
              </w:rPr>
              <w:t>30</w:t>
            </w:r>
            <w:r>
              <w:rPr>
                <w:rFonts w:hint="eastAsia" w:ascii="宋体" w:hAnsi="宋体" w:cs="宋体"/>
                <w:b/>
                <w:kern w:val="0"/>
                <w:szCs w:val="21"/>
                <w:highlight w:val="yellow"/>
              </w:rPr>
              <w:t>（北京时间）</w:t>
            </w:r>
          </w:p>
        </w:tc>
      </w:tr>
      <w:tr>
        <w:tblPrEx>
          <w:tblCellMar>
            <w:top w:w="15" w:type="dxa"/>
            <w:left w:w="15" w:type="dxa"/>
            <w:bottom w:w="15" w:type="dxa"/>
            <w:right w:w="15" w:type="dxa"/>
          </w:tblCellMar>
        </w:tblPrEx>
        <w:trPr>
          <w:trHeight w:val="744" w:hRule="atLeast"/>
          <w:tblCellSpacing w:w="7" w:type="dxa"/>
          <w:jc w:val="center"/>
        </w:trPr>
        <w:tc>
          <w:tcPr>
            <w:tcW w:w="682" w:type="dxa"/>
            <w:tcBorders>
              <w:top w:val="single" w:color="auto" w:sz="4" w:space="0"/>
              <w:left w:val="single" w:color="auto" w:sz="4" w:space="0"/>
              <w:bottom w:val="single" w:color="auto" w:sz="4" w:space="0"/>
              <w:right w:val="single" w:color="auto" w:sz="4" w:space="0"/>
            </w:tcBorders>
            <w:shd w:val="clear" w:color="auto" w:fill="E0E0E0"/>
            <w:noWrap w:val="0"/>
            <w:vAlign w:val="center"/>
          </w:tcPr>
          <w:p>
            <w:pPr>
              <w:spacing w:line="300" w:lineRule="auto"/>
              <w:jc w:val="center"/>
              <w:rPr>
                <w:rFonts w:ascii="宋体" w:hAnsi="宋体" w:cs="宋体"/>
                <w:b/>
                <w:sz w:val="24"/>
                <w:szCs w:val="24"/>
              </w:rPr>
            </w:pPr>
            <w:r>
              <w:rPr>
                <w:rFonts w:hint="eastAsia" w:ascii="宋体" w:hAnsi="宋体" w:cs="宋体"/>
                <w:b/>
                <w:sz w:val="24"/>
                <w:szCs w:val="24"/>
              </w:rPr>
              <w:t>13</w:t>
            </w:r>
          </w:p>
        </w:tc>
        <w:tc>
          <w:tcPr>
            <w:tcW w:w="1484" w:type="dxa"/>
            <w:tcBorders>
              <w:top w:val="single" w:color="auto" w:sz="4" w:space="0"/>
              <w:left w:val="single" w:color="auto" w:sz="4" w:space="0"/>
              <w:bottom w:val="single" w:color="auto" w:sz="4" w:space="0"/>
              <w:right w:val="single" w:color="auto" w:sz="4" w:space="0"/>
            </w:tcBorders>
            <w:shd w:val="clear" w:color="auto" w:fill="E0E0E0"/>
            <w:noWrap w:val="0"/>
            <w:vAlign w:val="center"/>
          </w:tcPr>
          <w:p>
            <w:pPr>
              <w:spacing w:line="300" w:lineRule="auto"/>
              <w:jc w:val="center"/>
              <w:rPr>
                <w:rFonts w:ascii="宋体" w:hAnsi="宋体" w:cs="宋体"/>
                <w:b/>
                <w:sz w:val="24"/>
                <w:szCs w:val="24"/>
              </w:rPr>
            </w:pPr>
            <w:r>
              <w:rPr>
                <w:rFonts w:hint="eastAsia" w:ascii="宋体" w:hAnsi="宋体" w:cs="宋体"/>
                <w:b/>
                <w:sz w:val="24"/>
                <w:szCs w:val="24"/>
              </w:rPr>
              <w:t>中小企业划分标准所属行业</w:t>
            </w:r>
          </w:p>
        </w:tc>
        <w:tc>
          <w:tcPr>
            <w:tcW w:w="797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spacing w:line="300" w:lineRule="auto"/>
              <w:jc w:val="left"/>
              <w:rPr>
                <w:rFonts w:hint="eastAsia" w:ascii="宋体" w:hAnsi="宋体" w:cs="宋体"/>
                <w:b/>
                <w:kern w:val="0"/>
                <w:sz w:val="24"/>
                <w:szCs w:val="24"/>
              </w:rPr>
            </w:pPr>
            <w:r>
              <w:rPr>
                <w:rFonts w:hint="eastAsia" w:ascii="宋体" w:hAnsi="宋体" w:cs="宋体"/>
                <w:b/>
                <w:kern w:val="0"/>
                <w:sz w:val="24"/>
                <w:szCs w:val="24"/>
              </w:rPr>
              <w:t>软件和信息技术服务业</w:t>
            </w:r>
          </w:p>
        </w:tc>
      </w:tr>
    </w:tbl>
    <w:p>
      <w:pPr>
        <w:pStyle w:val="8"/>
        <w:snapToGrid w:val="0"/>
        <w:spacing w:before="120" w:after="120" w:line="360" w:lineRule="auto"/>
        <w:jc w:val="center"/>
        <w:rPr>
          <w:color w:val="000000"/>
          <w:sz w:val="28"/>
          <w:szCs w:val="28"/>
        </w:rPr>
      </w:pPr>
      <w:r>
        <w:rPr>
          <w:rFonts w:hint="eastAsia"/>
          <w:b/>
          <w:bCs/>
          <w:color w:val="000000"/>
          <w:sz w:val="28"/>
          <w:szCs w:val="28"/>
        </w:rPr>
        <w:t>第四章  评标办法及评分标准</w:t>
      </w:r>
    </w:p>
    <w:p>
      <w:pPr>
        <w:widowControl/>
        <w:spacing w:line="288" w:lineRule="atLeast"/>
        <w:jc w:val="left"/>
        <w:rPr>
          <w:rFonts w:ascii="宋体" w:hAnsi="宋体" w:eastAsia="宋体" w:cs="宋体"/>
          <w:b/>
          <w:color w:val="555555"/>
          <w:kern w:val="0"/>
          <w:szCs w:val="21"/>
        </w:rPr>
      </w:pPr>
      <w:r>
        <w:rPr>
          <w:rFonts w:hint="eastAsia" w:ascii="宋体" w:hAnsi="宋体" w:eastAsia="宋体" w:cs="宋体"/>
          <w:b/>
          <w:color w:val="555555"/>
          <w:kern w:val="0"/>
          <w:szCs w:val="21"/>
        </w:rPr>
        <w:t>一、评标的方式</w:t>
      </w:r>
    </w:p>
    <w:bookmarkEnd w:id="19"/>
    <w:bookmarkEnd w:id="20"/>
    <w:p>
      <w:pPr>
        <w:spacing w:line="360" w:lineRule="auto"/>
        <w:rPr>
          <w:rFonts w:ascii="宋体" w:hAnsi="宋体" w:eastAsia="宋体" w:cs="宋体"/>
          <w:color w:val="555555"/>
          <w:kern w:val="0"/>
          <w:szCs w:val="21"/>
        </w:rPr>
      </w:pPr>
      <w:r>
        <w:rPr>
          <w:rFonts w:hint="eastAsia" w:ascii="宋体" w:hAnsi="宋体"/>
          <w:bCs/>
          <w:sz w:val="24"/>
        </w:rPr>
        <w:t>（一）</w:t>
      </w:r>
      <w:r>
        <w:rPr>
          <w:rFonts w:hint="eastAsia" w:ascii="宋体" w:hAnsi="宋体" w:eastAsia="宋体" w:cs="宋体"/>
          <w:color w:val="555555"/>
          <w:kern w:val="0"/>
          <w:szCs w:val="21"/>
        </w:rPr>
        <w:t>组建评标委员会</w:t>
      </w:r>
    </w:p>
    <w:p>
      <w:pPr>
        <w:spacing w:line="360" w:lineRule="auto"/>
        <w:ind w:firstLine="315" w:firstLineChars="150"/>
        <w:rPr>
          <w:color w:val="555555"/>
          <w:szCs w:val="21"/>
        </w:rPr>
      </w:pPr>
      <w:r>
        <w:rPr>
          <w:rFonts w:hint="eastAsia"/>
          <w:color w:val="555555"/>
          <w:szCs w:val="21"/>
        </w:rPr>
        <w:t>1、招标采购单位根据采购项目的内容特点按照规定组建评标委员会。</w:t>
      </w:r>
    </w:p>
    <w:p>
      <w:pPr>
        <w:spacing w:line="360" w:lineRule="auto"/>
        <w:ind w:firstLine="315" w:firstLineChars="150"/>
        <w:rPr>
          <w:color w:val="555555"/>
          <w:szCs w:val="21"/>
        </w:rPr>
      </w:pPr>
      <w:r>
        <w:rPr>
          <w:rFonts w:hint="eastAsia"/>
          <w:color w:val="555555"/>
          <w:szCs w:val="21"/>
        </w:rPr>
        <w:t>2、评标原则。评标委员会必须遵循公平、公正、客观、科学的原则和规定的程序进行评标；评标的依据为采购文件和投标文件；评审人员应独立评标，不得带有任何倾向性和启发性影响他人评审；任何单位和个人不得干扰、影响评标的正常进行；评标委员会及有关工作人员不得私下与投标人接触，不得向外界透露任何与评标有关的内容。</w:t>
      </w:r>
    </w:p>
    <w:p>
      <w:pPr>
        <w:spacing w:line="360" w:lineRule="auto"/>
        <w:ind w:firstLine="315" w:firstLineChars="150"/>
        <w:rPr>
          <w:color w:val="555555"/>
          <w:szCs w:val="21"/>
        </w:rPr>
      </w:pPr>
      <w:r>
        <w:rPr>
          <w:rFonts w:hint="eastAsia"/>
          <w:color w:val="555555"/>
          <w:szCs w:val="21"/>
        </w:rPr>
        <w:t>3、评标委员会判断投标文件的有效性、合格性和响应情况，仅依据投标人所递交一切文件的真实表述，不受与本项目无直接关联的外部信息、传言而影响自身的专业判断。</w:t>
      </w:r>
    </w:p>
    <w:p>
      <w:pPr>
        <w:spacing w:line="360" w:lineRule="auto"/>
        <w:ind w:firstLine="315" w:firstLineChars="150"/>
        <w:rPr>
          <w:color w:val="555555"/>
          <w:szCs w:val="21"/>
        </w:rPr>
      </w:pPr>
      <w:r>
        <w:rPr>
          <w:rFonts w:hint="eastAsia"/>
          <w:color w:val="555555"/>
          <w:szCs w:val="21"/>
        </w:rPr>
        <w:t>4、评委依法独立评审，并对评审意见承担个人责任。对明显畸高、畸低的评分（其总评分偏离平均分30%以上的），评标委员会主任委员提醒相关评审人员进行复核或书面说明理由。评委对需要共同认定的事项存在争议的，按照少数服从多数的原则做出结论。持不同意见的评委应当在评审报告上签署不同意见并说明理由，否则视为同意。</w:t>
      </w:r>
    </w:p>
    <w:p>
      <w:pPr>
        <w:spacing w:line="360" w:lineRule="auto"/>
        <w:rPr>
          <w:rFonts w:ascii="宋体" w:hAnsi="宋体" w:eastAsia="宋体" w:cs="宋体"/>
          <w:color w:val="555555"/>
          <w:kern w:val="0"/>
          <w:szCs w:val="21"/>
        </w:rPr>
      </w:pPr>
      <w:r>
        <w:rPr>
          <w:rFonts w:hint="eastAsia" w:ascii="宋体" w:hAnsi="宋体" w:eastAsia="宋体" w:cs="宋体"/>
          <w:color w:val="555555"/>
          <w:kern w:val="0"/>
          <w:szCs w:val="21"/>
        </w:rPr>
        <w:t>二、评标程序</w:t>
      </w:r>
    </w:p>
    <w:p>
      <w:pPr>
        <w:spacing w:line="360" w:lineRule="auto"/>
        <w:ind w:firstLine="315" w:firstLineChars="150"/>
        <w:rPr>
          <w:rFonts w:ascii="宋体" w:hAnsi="宋体" w:eastAsia="宋体" w:cs="宋体"/>
          <w:color w:val="555555"/>
          <w:kern w:val="0"/>
          <w:szCs w:val="21"/>
        </w:rPr>
      </w:pPr>
      <w:r>
        <w:rPr>
          <w:rFonts w:hint="eastAsia" w:ascii="宋体" w:hAnsi="宋体" w:eastAsia="宋体" w:cs="宋体"/>
          <w:color w:val="555555"/>
          <w:kern w:val="0"/>
          <w:szCs w:val="21"/>
        </w:rPr>
        <w:t>1.资格审查</w:t>
      </w:r>
    </w:p>
    <w:p>
      <w:pPr>
        <w:spacing w:line="360" w:lineRule="auto"/>
        <w:ind w:firstLine="210" w:firstLineChars="100"/>
        <w:rPr>
          <w:rFonts w:ascii="宋体" w:hAnsi="宋体" w:eastAsia="宋体" w:cs="宋体"/>
          <w:color w:val="555555"/>
          <w:kern w:val="0"/>
          <w:szCs w:val="21"/>
        </w:rPr>
      </w:pPr>
      <w:r>
        <w:rPr>
          <w:rFonts w:hint="eastAsia" w:ascii="宋体" w:hAnsi="宋体" w:eastAsia="宋体" w:cs="宋体"/>
          <w:color w:val="555555"/>
          <w:kern w:val="0"/>
          <w:szCs w:val="21"/>
        </w:rPr>
        <w:t>对投标人的资格进行审查。合格投标人不足3家的，不得评标。</w:t>
      </w:r>
    </w:p>
    <w:p>
      <w:pPr>
        <w:autoSpaceDE w:val="0"/>
        <w:autoSpaceDN w:val="0"/>
        <w:adjustRightInd w:val="0"/>
        <w:spacing w:line="360" w:lineRule="auto"/>
        <w:ind w:firstLine="210" w:firstLineChars="100"/>
        <w:rPr>
          <w:rFonts w:ascii="宋体" w:hAnsi="宋体" w:eastAsia="宋体" w:cs="宋体"/>
          <w:color w:val="555555"/>
          <w:kern w:val="0"/>
          <w:szCs w:val="21"/>
        </w:rPr>
      </w:pPr>
      <w:r>
        <w:rPr>
          <w:rFonts w:hint="eastAsia" w:ascii="宋体" w:hAnsi="宋体" w:eastAsia="宋体" w:cs="宋体"/>
          <w:color w:val="555555"/>
          <w:kern w:val="0"/>
          <w:szCs w:val="21"/>
        </w:rPr>
        <w:t>按以下内容审核投标文件是否符合招标文件的资格文件要求。</w:t>
      </w:r>
    </w:p>
    <w:tbl>
      <w:tblPr>
        <w:tblStyle w:val="16"/>
        <w:tblW w:w="91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5"/>
        <w:gridCol w:w="6523"/>
        <w:gridCol w:w="1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2" w:hRule="atLeast"/>
          <w:jc w:val="center"/>
        </w:trPr>
        <w:tc>
          <w:tcPr>
            <w:tcW w:w="1195" w:type="dxa"/>
            <w:vAlign w:val="center"/>
          </w:tcPr>
          <w:p>
            <w:pPr>
              <w:spacing w:line="336" w:lineRule="auto"/>
              <w:jc w:val="center"/>
              <w:rPr>
                <w:rFonts w:ascii="宋体" w:hAnsi="宋体" w:eastAsia="宋体" w:cs="宋体"/>
                <w:color w:val="555555"/>
                <w:kern w:val="0"/>
                <w:szCs w:val="21"/>
              </w:rPr>
            </w:pPr>
            <w:r>
              <w:rPr>
                <w:rFonts w:hint="eastAsia" w:ascii="宋体" w:hAnsi="宋体" w:eastAsia="宋体" w:cs="宋体"/>
                <w:color w:val="555555"/>
                <w:kern w:val="0"/>
                <w:szCs w:val="21"/>
              </w:rPr>
              <w:t>序号</w:t>
            </w:r>
          </w:p>
        </w:tc>
        <w:tc>
          <w:tcPr>
            <w:tcW w:w="6523" w:type="dxa"/>
            <w:tcBorders>
              <w:tl2br w:val="single" w:color="auto" w:sz="4" w:space="0"/>
            </w:tcBorders>
          </w:tcPr>
          <w:p>
            <w:pPr>
              <w:spacing w:line="336" w:lineRule="auto"/>
              <w:jc w:val="right"/>
              <w:rPr>
                <w:rFonts w:ascii="宋体" w:hAnsi="宋体" w:eastAsia="宋体" w:cs="宋体"/>
                <w:color w:val="555555"/>
                <w:kern w:val="0"/>
                <w:szCs w:val="21"/>
              </w:rPr>
            </w:pPr>
            <w:r>
              <w:rPr>
                <w:rFonts w:hint="eastAsia" w:ascii="宋体" w:hAnsi="宋体" w:eastAsia="宋体" w:cs="宋体"/>
                <w:color w:val="555555"/>
                <w:kern w:val="0"/>
                <w:szCs w:val="21"/>
              </w:rPr>
              <w:t>投标人</w:t>
            </w:r>
          </w:p>
          <w:p>
            <w:pPr>
              <w:spacing w:line="336" w:lineRule="auto"/>
              <w:rPr>
                <w:rFonts w:ascii="宋体" w:hAnsi="宋体" w:eastAsia="宋体" w:cs="宋体"/>
                <w:color w:val="555555"/>
                <w:kern w:val="0"/>
                <w:szCs w:val="21"/>
              </w:rPr>
            </w:pPr>
            <w:r>
              <w:rPr>
                <w:rFonts w:hint="eastAsia" w:ascii="宋体" w:hAnsi="宋体" w:eastAsia="宋体" w:cs="宋体"/>
                <w:color w:val="555555"/>
                <w:kern w:val="0"/>
                <w:szCs w:val="21"/>
              </w:rPr>
              <w:t>内容</w:t>
            </w:r>
          </w:p>
        </w:tc>
        <w:tc>
          <w:tcPr>
            <w:tcW w:w="1402" w:type="dxa"/>
            <w:vAlign w:val="center"/>
          </w:tcPr>
          <w:p>
            <w:pPr>
              <w:spacing w:line="336" w:lineRule="auto"/>
              <w:jc w:val="center"/>
              <w:rPr>
                <w:rFonts w:ascii="宋体" w:hAnsi="宋体" w:eastAsia="宋体" w:cs="宋体"/>
                <w:color w:val="555555"/>
                <w:kern w:val="0"/>
                <w:szCs w:val="21"/>
              </w:rPr>
            </w:pPr>
            <w:r>
              <w:rPr>
                <w:rFonts w:hint="eastAsia" w:ascii="宋体" w:hAnsi="宋体" w:eastAsia="宋体" w:cs="宋体"/>
                <w:color w:val="555555"/>
                <w:kern w:val="0"/>
                <w:szCs w:val="21"/>
              </w:rPr>
              <w:t>审核标准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1195" w:type="dxa"/>
            <w:vAlign w:val="center"/>
          </w:tcPr>
          <w:p>
            <w:pPr>
              <w:spacing w:line="336" w:lineRule="auto"/>
              <w:jc w:val="center"/>
              <w:rPr>
                <w:rFonts w:ascii="宋体" w:hAnsi="宋体" w:eastAsia="宋体" w:cs="宋体"/>
                <w:color w:val="555555"/>
                <w:kern w:val="0"/>
                <w:szCs w:val="21"/>
              </w:rPr>
            </w:pPr>
            <w:r>
              <w:rPr>
                <w:rFonts w:hint="eastAsia" w:ascii="宋体" w:hAnsi="宋体" w:eastAsia="宋体" w:cs="宋体"/>
                <w:color w:val="555555"/>
                <w:kern w:val="0"/>
                <w:szCs w:val="21"/>
              </w:rPr>
              <w:t>1</w:t>
            </w:r>
          </w:p>
        </w:tc>
        <w:tc>
          <w:tcPr>
            <w:tcW w:w="6523" w:type="dxa"/>
            <w:vAlign w:val="center"/>
          </w:tcPr>
          <w:p>
            <w:pPr>
              <w:spacing w:line="336" w:lineRule="auto"/>
              <w:rPr>
                <w:rFonts w:ascii="宋体" w:hAnsi="宋体" w:eastAsia="宋体" w:cs="宋体"/>
                <w:color w:val="555555"/>
                <w:kern w:val="0"/>
                <w:szCs w:val="21"/>
              </w:rPr>
            </w:pPr>
            <w:r>
              <w:rPr>
                <w:rFonts w:hint="eastAsia" w:ascii="宋体" w:hAnsi="宋体" w:eastAsia="宋体" w:cs="宋体"/>
                <w:color w:val="555555"/>
                <w:kern w:val="0"/>
                <w:szCs w:val="21"/>
              </w:rPr>
              <w:t>投标人企业的营业执照副本复印件</w:t>
            </w:r>
          </w:p>
        </w:tc>
        <w:tc>
          <w:tcPr>
            <w:tcW w:w="1402" w:type="dxa"/>
            <w:vAlign w:val="center"/>
          </w:tcPr>
          <w:p>
            <w:pPr>
              <w:spacing w:line="336" w:lineRule="auto"/>
              <w:jc w:val="center"/>
              <w:rPr>
                <w:rFonts w:ascii="宋体" w:hAnsi="宋体" w:eastAsia="宋体" w:cs="宋体"/>
                <w:color w:val="555555"/>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3" w:hRule="atLeast"/>
          <w:jc w:val="center"/>
        </w:trPr>
        <w:tc>
          <w:tcPr>
            <w:tcW w:w="1195" w:type="dxa"/>
            <w:vAlign w:val="center"/>
          </w:tcPr>
          <w:p>
            <w:pPr>
              <w:spacing w:line="336" w:lineRule="auto"/>
              <w:jc w:val="center"/>
              <w:rPr>
                <w:rFonts w:ascii="宋体" w:hAnsi="宋体" w:eastAsia="宋体" w:cs="宋体"/>
                <w:color w:val="555555"/>
                <w:kern w:val="0"/>
                <w:szCs w:val="21"/>
              </w:rPr>
            </w:pPr>
            <w:r>
              <w:rPr>
                <w:rFonts w:hint="eastAsia" w:ascii="宋体" w:hAnsi="宋体" w:eastAsia="宋体" w:cs="宋体"/>
                <w:color w:val="555555"/>
                <w:kern w:val="0"/>
                <w:szCs w:val="21"/>
              </w:rPr>
              <w:t>2</w:t>
            </w:r>
          </w:p>
        </w:tc>
        <w:tc>
          <w:tcPr>
            <w:tcW w:w="6523" w:type="dxa"/>
            <w:vAlign w:val="center"/>
          </w:tcPr>
          <w:p>
            <w:pPr>
              <w:spacing w:line="336" w:lineRule="auto"/>
              <w:rPr>
                <w:rFonts w:ascii="宋体" w:hAnsi="宋体" w:eastAsia="宋体" w:cs="宋体"/>
                <w:color w:val="555555"/>
                <w:kern w:val="0"/>
                <w:szCs w:val="21"/>
              </w:rPr>
            </w:pPr>
            <w:r>
              <w:rPr>
                <w:rFonts w:hint="eastAsia" w:ascii="宋体" w:hAnsi="宋体" w:eastAsia="宋体" w:cs="宋体"/>
                <w:color w:val="555555"/>
                <w:kern w:val="0"/>
                <w:szCs w:val="21"/>
              </w:rPr>
              <w:t>投标函</w:t>
            </w:r>
          </w:p>
        </w:tc>
        <w:tc>
          <w:tcPr>
            <w:tcW w:w="1402" w:type="dxa"/>
            <w:vAlign w:val="center"/>
          </w:tcPr>
          <w:p>
            <w:pPr>
              <w:spacing w:line="336" w:lineRule="auto"/>
              <w:jc w:val="center"/>
              <w:rPr>
                <w:rFonts w:ascii="宋体" w:hAnsi="宋体" w:eastAsia="宋体" w:cs="宋体"/>
                <w:color w:val="555555"/>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8" w:hRule="atLeast"/>
          <w:jc w:val="center"/>
        </w:trPr>
        <w:tc>
          <w:tcPr>
            <w:tcW w:w="1195" w:type="dxa"/>
            <w:vAlign w:val="center"/>
          </w:tcPr>
          <w:p>
            <w:pPr>
              <w:spacing w:line="336" w:lineRule="auto"/>
              <w:jc w:val="center"/>
              <w:rPr>
                <w:rFonts w:ascii="宋体" w:hAnsi="宋体" w:eastAsia="宋体" w:cs="宋体"/>
                <w:color w:val="555555"/>
                <w:kern w:val="0"/>
                <w:szCs w:val="21"/>
              </w:rPr>
            </w:pPr>
            <w:r>
              <w:rPr>
                <w:rFonts w:hint="eastAsia" w:ascii="宋体" w:hAnsi="宋体" w:eastAsia="宋体" w:cs="宋体"/>
                <w:color w:val="555555"/>
                <w:kern w:val="0"/>
                <w:szCs w:val="21"/>
              </w:rPr>
              <w:t>3</w:t>
            </w:r>
          </w:p>
        </w:tc>
        <w:tc>
          <w:tcPr>
            <w:tcW w:w="6523" w:type="dxa"/>
            <w:vAlign w:val="center"/>
          </w:tcPr>
          <w:p>
            <w:pPr>
              <w:spacing w:line="336" w:lineRule="auto"/>
              <w:rPr>
                <w:rFonts w:ascii="宋体" w:hAnsi="宋体" w:eastAsia="宋体" w:cs="宋体"/>
                <w:color w:val="555555"/>
                <w:kern w:val="0"/>
                <w:szCs w:val="21"/>
              </w:rPr>
            </w:pPr>
            <w:r>
              <w:rPr>
                <w:rFonts w:hint="eastAsia" w:ascii="宋体" w:hAnsi="宋体" w:eastAsia="宋体" w:cs="宋体"/>
                <w:color w:val="555555"/>
                <w:kern w:val="0"/>
                <w:szCs w:val="21"/>
              </w:rPr>
              <w:t>信用查询记录</w:t>
            </w:r>
          </w:p>
        </w:tc>
        <w:tc>
          <w:tcPr>
            <w:tcW w:w="1402" w:type="dxa"/>
            <w:vAlign w:val="center"/>
          </w:tcPr>
          <w:p>
            <w:pPr>
              <w:spacing w:line="336" w:lineRule="auto"/>
              <w:jc w:val="center"/>
              <w:rPr>
                <w:rFonts w:ascii="宋体" w:hAnsi="宋体" w:eastAsia="宋体" w:cs="宋体"/>
                <w:color w:val="555555"/>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5" w:hRule="atLeast"/>
          <w:jc w:val="center"/>
        </w:trPr>
        <w:tc>
          <w:tcPr>
            <w:tcW w:w="1195" w:type="dxa"/>
            <w:vAlign w:val="center"/>
          </w:tcPr>
          <w:p>
            <w:pPr>
              <w:spacing w:line="336" w:lineRule="auto"/>
              <w:jc w:val="center"/>
              <w:rPr>
                <w:rFonts w:ascii="宋体" w:hAnsi="宋体" w:eastAsia="宋体" w:cs="宋体"/>
                <w:color w:val="555555"/>
                <w:kern w:val="0"/>
                <w:szCs w:val="21"/>
              </w:rPr>
            </w:pPr>
            <w:r>
              <w:rPr>
                <w:rFonts w:hint="eastAsia" w:ascii="宋体" w:hAnsi="宋体" w:eastAsia="宋体" w:cs="宋体"/>
                <w:color w:val="555555"/>
                <w:kern w:val="0"/>
                <w:szCs w:val="21"/>
              </w:rPr>
              <w:t>4</w:t>
            </w:r>
          </w:p>
        </w:tc>
        <w:tc>
          <w:tcPr>
            <w:tcW w:w="6523" w:type="dxa"/>
            <w:vAlign w:val="center"/>
          </w:tcPr>
          <w:p>
            <w:pPr>
              <w:spacing w:line="336" w:lineRule="auto"/>
              <w:rPr>
                <w:rFonts w:ascii="宋体" w:hAnsi="宋体" w:eastAsia="宋体" w:cs="宋体"/>
                <w:color w:val="555555"/>
                <w:kern w:val="0"/>
                <w:szCs w:val="21"/>
              </w:rPr>
            </w:pPr>
            <w:r>
              <w:rPr>
                <w:rFonts w:hint="eastAsia" w:ascii="宋体" w:hAnsi="宋体" w:eastAsia="宋体" w:cs="宋体"/>
                <w:color w:val="555555"/>
                <w:kern w:val="0"/>
                <w:szCs w:val="21"/>
              </w:rPr>
              <w:t>法定代表人身份证复印件</w:t>
            </w:r>
          </w:p>
        </w:tc>
        <w:tc>
          <w:tcPr>
            <w:tcW w:w="1402" w:type="dxa"/>
            <w:vAlign w:val="center"/>
          </w:tcPr>
          <w:p>
            <w:pPr>
              <w:spacing w:line="336" w:lineRule="auto"/>
              <w:jc w:val="center"/>
              <w:rPr>
                <w:rFonts w:ascii="宋体" w:hAnsi="宋体" w:eastAsia="宋体" w:cs="宋体"/>
                <w:color w:val="555555"/>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5" w:hRule="atLeast"/>
          <w:jc w:val="center"/>
        </w:trPr>
        <w:tc>
          <w:tcPr>
            <w:tcW w:w="9120" w:type="dxa"/>
            <w:gridSpan w:val="3"/>
            <w:vAlign w:val="center"/>
          </w:tcPr>
          <w:p>
            <w:pPr>
              <w:spacing w:line="336" w:lineRule="auto"/>
              <w:jc w:val="left"/>
              <w:rPr>
                <w:rFonts w:ascii="宋体" w:hAnsi="宋体" w:eastAsia="宋体" w:cs="宋体"/>
                <w:color w:val="555555"/>
                <w:kern w:val="0"/>
                <w:szCs w:val="21"/>
              </w:rPr>
            </w:pPr>
            <w:r>
              <w:rPr>
                <w:rFonts w:hint="eastAsia" w:ascii="宋体" w:hAnsi="宋体" w:eastAsia="宋体" w:cs="宋体"/>
                <w:color w:val="555555"/>
                <w:kern w:val="0"/>
                <w:szCs w:val="21"/>
              </w:rPr>
              <w:t>非法定代表人参加投标时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5" w:hRule="atLeast"/>
          <w:jc w:val="center"/>
        </w:trPr>
        <w:tc>
          <w:tcPr>
            <w:tcW w:w="1195" w:type="dxa"/>
            <w:vAlign w:val="center"/>
          </w:tcPr>
          <w:p>
            <w:pPr>
              <w:spacing w:line="336" w:lineRule="auto"/>
              <w:jc w:val="center"/>
              <w:rPr>
                <w:rFonts w:ascii="宋体" w:hAnsi="宋体" w:eastAsia="宋体" w:cs="宋体"/>
                <w:color w:val="555555"/>
                <w:kern w:val="0"/>
                <w:szCs w:val="21"/>
              </w:rPr>
            </w:pPr>
            <w:r>
              <w:rPr>
                <w:rFonts w:hint="eastAsia" w:ascii="宋体" w:hAnsi="宋体" w:eastAsia="宋体" w:cs="宋体"/>
                <w:color w:val="555555"/>
                <w:kern w:val="0"/>
                <w:szCs w:val="21"/>
              </w:rPr>
              <w:t>5</w:t>
            </w:r>
          </w:p>
        </w:tc>
        <w:tc>
          <w:tcPr>
            <w:tcW w:w="6523" w:type="dxa"/>
            <w:vAlign w:val="center"/>
          </w:tcPr>
          <w:p>
            <w:pPr>
              <w:spacing w:line="336" w:lineRule="auto"/>
              <w:rPr>
                <w:rFonts w:ascii="宋体" w:hAnsi="宋体" w:eastAsia="宋体" w:cs="宋体"/>
                <w:color w:val="555555"/>
                <w:kern w:val="0"/>
                <w:szCs w:val="21"/>
              </w:rPr>
            </w:pPr>
            <w:r>
              <w:rPr>
                <w:rFonts w:hint="eastAsia" w:ascii="宋体" w:hAnsi="宋体" w:eastAsia="宋体" w:cs="宋体"/>
                <w:color w:val="555555"/>
                <w:kern w:val="0"/>
                <w:szCs w:val="21"/>
              </w:rPr>
              <w:t>《法定代表人授权函》原件</w:t>
            </w:r>
          </w:p>
        </w:tc>
        <w:tc>
          <w:tcPr>
            <w:tcW w:w="1402" w:type="dxa"/>
            <w:vAlign w:val="center"/>
          </w:tcPr>
          <w:p>
            <w:pPr>
              <w:spacing w:line="336" w:lineRule="auto"/>
              <w:jc w:val="center"/>
              <w:rPr>
                <w:rFonts w:ascii="宋体" w:hAnsi="宋体" w:eastAsia="宋体" w:cs="宋体"/>
                <w:color w:val="555555"/>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5" w:hRule="atLeast"/>
          <w:jc w:val="center"/>
        </w:trPr>
        <w:tc>
          <w:tcPr>
            <w:tcW w:w="1195" w:type="dxa"/>
            <w:vAlign w:val="center"/>
          </w:tcPr>
          <w:p>
            <w:pPr>
              <w:spacing w:line="336" w:lineRule="auto"/>
              <w:jc w:val="center"/>
              <w:rPr>
                <w:rFonts w:ascii="宋体" w:hAnsi="宋体" w:eastAsia="宋体" w:cs="宋体"/>
                <w:color w:val="555555"/>
                <w:kern w:val="0"/>
                <w:szCs w:val="21"/>
              </w:rPr>
            </w:pPr>
            <w:r>
              <w:rPr>
                <w:rFonts w:hint="eastAsia" w:ascii="宋体" w:hAnsi="宋体" w:eastAsia="宋体" w:cs="宋体"/>
                <w:color w:val="555555"/>
                <w:kern w:val="0"/>
                <w:szCs w:val="21"/>
              </w:rPr>
              <w:t>6</w:t>
            </w:r>
          </w:p>
        </w:tc>
        <w:tc>
          <w:tcPr>
            <w:tcW w:w="6523" w:type="dxa"/>
            <w:vAlign w:val="center"/>
          </w:tcPr>
          <w:p>
            <w:pPr>
              <w:spacing w:line="336" w:lineRule="auto"/>
              <w:rPr>
                <w:rFonts w:ascii="宋体" w:hAnsi="宋体" w:eastAsia="宋体" w:cs="宋体"/>
                <w:color w:val="555555"/>
                <w:kern w:val="0"/>
                <w:szCs w:val="21"/>
              </w:rPr>
            </w:pPr>
            <w:r>
              <w:rPr>
                <w:rFonts w:hint="eastAsia" w:ascii="宋体" w:hAnsi="宋体" w:eastAsia="宋体" w:cs="宋体"/>
                <w:color w:val="555555"/>
                <w:kern w:val="0"/>
                <w:szCs w:val="21"/>
              </w:rPr>
              <w:t>投标人代表身份证复印件</w:t>
            </w:r>
          </w:p>
        </w:tc>
        <w:tc>
          <w:tcPr>
            <w:tcW w:w="1402" w:type="dxa"/>
            <w:vAlign w:val="center"/>
          </w:tcPr>
          <w:p>
            <w:pPr>
              <w:spacing w:line="336" w:lineRule="auto"/>
              <w:jc w:val="center"/>
              <w:rPr>
                <w:rFonts w:ascii="宋体" w:hAnsi="宋体" w:eastAsia="宋体" w:cs="宋体"/>
                <w:color w:val="555555"/>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3" w:hRule="atLeast"/>
          <w:jc w:val="center"/>
        </w:trPr>
        <w:tc>
          <w:tcPr>
            <w:tcW w:w="7718" w:type="dxa"/>
            <w:gridSpan w:val="2"/>
          </w:tcPr>
          <w:p>
            <w:pPr>
              <w:pStyle w:val="9"/>
              <w:spacing w:line="336" w:lineRule="auto"/>
              <w:jc w:val="center"/>
              <w:rPr>
                <w:rFonts w:ascii="宋体" w:hAnsi="宋体" w:eastAsia="宋体" w:cs="宋体"/>
                <w:color w:val="555555"/>
                <w:kern w:val="0"/>
                <w:szCs w:val="21"/>
              </w:rPr>
            </w:pPr>
            <w:r>
              <w:rPr>
                <w:rFonts w:hint="eastAsia" w:ascii="宋体" w:hAnsi="宋体" w:eastAsia="宋体" w:cs="宋体"/>
                <w:color w:val="555555"/>
                <w:kern w:val="0"/>
                <w:szCs w:val="21"/>
              </w:rPr>
              <w:t>结   论</w:t>
            </w:r>
          </w:p>
        </w:tc>
        <w:tc>
          <w:tcPr>
            <w:tcW w:w="1402" w:type="dxa"/>
            <w:vAlign w:val="center"/>
          </w:tcPr>
          <w:p>
            <w:pPr>
              <w:spacing w:line="336" w:lineRule="auto"/>
              <w:ind w:left="180"/>
              <w:jc w:val="center"/>
              <w:rPr>
                <w:rFonts w:ascii="宋体" w:hAnsi="宋体" w:eastAsia="宋体" w:cs="宋体"/>
                <w:color w:val="555555"/>
                <w:kern w:val="0"/>
                <w:szCs w:val="21"/>
              </w:rPr>
            </w:pPr>
          </w:p>
        </w:tc>
      </w:tr>
    </w:tbl>
    <w:p>
      <w:pPr>
        <w:autoSpaceDE w:val="0"/>
        <w:autoSpaceDN w:val="0"/>
        <w:adjustRightInd w:val="0"/>
        <w:spacing w:line="360" w:lineRule="auto"/>
        <w:ind w:firstLine="720"/>
        <w:rPr>
          <w:rFonts w:ascii="宋体" w:hAnsi="宋体" w:eastAsia="宋体" w:cs="宋体"/>
          <w:color w:val="555555"/>
          <w:kern w:val="0"/>
          <w:szCs w:val="21"/>
        </w:rPr>
      </w:pPr>
      <w:r>
        <w:rPr>
          <w:rFonts w:hint="eastAsia" w:ascii="宋体" w:hAnsi="宋体" w:eastAsia="宋体" w:cs="宋体"/>
          <w:color w:val="555555"/>
          <w:kern w:val="0"/>
          <w:szCs w:val="21"/>
        </w:rPr>
        <w:t>注：1、表中只需填写“√”或“×”；</w:t>
      </w:r>
    </w:p>
    <w:p>
      <w:pPr>
        <w:spacing w:line="360" w:lineRule="auto"/>
        <w:ind w:firstLine="1050" w:firstLineChars="500"/>
        <w:rPr>
          <w:rFonts w:ascii="宋体" w:hAnsi="宋体" w:eastAsia="宋体" w:cs="宋体"/>
          <w:color w:val="555555"/>
          <w:kern w:val="0"/>
          <w:szCs w:val="21"/>
        </w:rPr>
      </w:pPr>
      <w:r>
        <w:rPr>
          <w:rFonts w:hint="eastAsia" w:ascii="宋体" w:hAnsi="宋体" w:eastAsia="宋体" w:cs="宋体"/>
          <w:color w:val="555555"/>
          <w:kern w:val="0"/>
          <w:szCs w:val="21"/>
        </w:rPr>
        <w:t>2、在结论栏中填写“合格”或“不合格”。</w:t>
      </w:r>
    </w:p>
    <w:p>
      <w:pPr>
        <w:spacing w:line="360" w:lineRule="auto"/>
        <w:rPr>
          <w:rFonts w:ascii="宋体" w:hAnsi="宋体" w:eastAsia="宋体" w:cs="宋体"/>
          <w:color w:val="555555"/>
          <w:kern w:val="0"/>
          <w:szCs w:val="21"/>
        </w:rPr>
      </w:pPr>
      <w:r>
        <w:rPr>
          <w:rFonts w:hint="eastAsia" w:ascii="宋体" w:hAnsi="宋体" w:eastAsia="宋体" w:cs="宋体"/>
          <w:color w:val="555555"/>
          <w:kern w:val="0"/>
          <w:szCs w:val="21"/>
        </w:rPr>
        <w:t>2.符合性审查</w:t>
      </w:r>
    </w:p>
    <w:p>
      <w:pPr>
        <w:spacing w:line="360" w:lineRule="auto"/>
        <w:ind w:firstLine="420" w:firstLineChars="200"/>
        <w:rPr>
          <w:rFonts w:ascii="宋体" w:hAnsi="宋体" w:eastAsia="宋体" w:cs="宋体"/>
          <w:color w:val="555555"/>
          <w:kern w:val="0"/>
          <w:szCs w:val="21"/>
        </w:rPr>
      </w:pPr>
      <w:r>
        <w:rPr>
          <w:rFonts w:hint="eastAsia" w:ascii="宋体" w:hAnsi="宋体" w:eastAsia="宋体" w:cs="宋体"/>
          <w:color w:val="555555"/>
          <w:kern w:val="0"/>
          <w:szCs w:val="21"/>
        </w:rPr>
        <w:t>评标委员会应当对符合资格的投标人的投标文件进行符合性审查，以确定其是否满足招标文件的实质性要求。</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1"/>
        <w:gridCol w:w="78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tblHeader/>
          <w:jc w:val="center"/>
        </w:trPr>
        <w:tc>
          <w:tcPr>
            <w:tcW w:w="1591" w:type="dxa"/>
          </w:tcPr>
          <w:p>
            <w:pPr>
              <w:spacing w:line="360" w:lineRule="auto"/>
              <w:jc w:val="center"/>
              <w:rPr>
                <w:rFonts w:ascii="宋体" w:hAnsi="宋体" w:eastAsia="宋体" w:cs="宋体"/>
                <w:color w:val="555555"/>
                <w:kern w:val="0"/>
                <w:szCs w:val="21"/>
              </w:rPr>
            </w:pPr>
            <w:r>
              <w:rPr>
                <w:rFonts w:hint="eastAsia" w:ascii="宋体" w:hAnsi="宋体" w:eastAsia="宋体" w:cs="宋体"/>
                <w:color w:val="555555"/>
                <w:kern w:val="0"/>
                <w:szCs w:val="21"/>
              </w:rPr>
              <w:t>审查类别</w:t>
            </w:r>
          </w:p>
        </w:tc>
        <w:tc>
          <w:tcPr>
            <w:tcW w:w="7869" w:type="dxa"/>
          </w:tcPr>
          <w:p>
            <w:pPr>
              <w:spacing w:line="360" w:lineRule="auto"/>
              <w:jc w:val="center"/>
              <w:rPr>
                <w:rFonts w:ascii="宋体" w:hAnsi="宋体" w:eastAsia="宋体" w:cs="宋体"/>
                <w:color w:val="555555"/>
                <w:kern w:val="0"/>
                <w:szCs w:val="21"/>
              </w:rPr>
            </w:pPr>
            <w:r>
              <w:rPr>
                <w:rFonts w:hint="eastAsia" w:ascii="宋体" w:hAnsi="宋体" w:eastAsia="宋体" w:cs="宋体"/>
                <w:color w:val="555555"/>
                <w:kern w:val="0"/>
                <w:szCs w:val="21"/>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5" w:hRule="atLeast"/>
          <w:jc w:val="center"/>
        </w:trPr>
        <w:tc>
          <w:tcPr>
            <w:tcW w:w="1591" w:type="dxa"/>
            <w:vMerge w:val="restart"/>
            <w:vAlign w:val="center"/>
          </w:tcPr>
          <w:p>
            <w:pPr>
              <w:spacing w:line="360" w:lineRule="auto"/>
              <w:jc w:val="center"/>
              <w:rPr>
                <w:rFonts w:ascii="宋体" w:hAnsi="宋体" w:eastAsia="宋体" w:cs="宋体"/>
                <w:color w:val="555555"/>
                <w:kern w:val="0"/>
                <w:szCs w:val="21"/>
              </w:rPr>
            </w:pPr>
            <w:r>
              <w:rPr>
                <w:rFonts w:hint="eastAsia" w:ascii="宋体" w:hAnsi="宋体" w:eastAsia="宋体" w:cs="宋体"/>
                <w:color w:val="555555"/>
                <w:kern w:val="0"/>
                <w:szCs w:val="21"/>
              </w:rPr>
              <w:t>符合性审查</w:t>
            </w:r>
          </w:p>
        </w:tc>
        <w:tc>
          <w:tcPr>
            <w:tcW w:w="7869" w:type="dxa"/>
            <w:vAlign w:val="center"/>
          </w:tcPr>
          <w:p>
            <w:pPr>
              <w:tabs>
                <w:tab w:val="left" w:pos="612"/>
              </w:tabs>
              <w:spacing w:beforeLines="50" w:afterLines="50" w:line="360" w:lineRule="auto"/>
              <w:rPr>
                <w:rFonts w:ascii="宋体" w:hAnsi="宋体" w:eastAsia="宋体" w:cs="宋体"/>
                <w:color w:val="555555"/>
                <w:kern w:val="0"/>
                <w:szCs w:val="21"/>
              </w:rPr>
            </w:pPr>
            <w:r>
              <w:rPr>
                <w:rFonts w:hint="eastAsia" w:ascii="宋体" w:hAnsi="宋体" w:eastAsia="宋体" w:cs="宋体"/>
                <w:color w:val="555555"/>
                <w:kern w:val="0"/>
                <w:szCs w:val="21"/>
              </w:rPr>
              <w:t>按照招标文件规定要求签署、盖章且投标文件有法定代表人签署本人姓名（或印盖本人姓名章），或签署人有法定代表人有效授权书的；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jc w:val="center"/>
        </w:trPr>
        <w:tc>
          <w:tcPr>
            <w:tcW w:w="1591" w:type="dxa"/>
            <w:vMerge w:val="continue"/>
          </w:tcPr>
          <w:p>
            <w:pPr>
              <w:spacing w:line="360" w:lineRule="auto"/>
              <w:rPr>
                <w:rFonts w:ascii="宋体" w:hAnsi="宋体" w:eastAsia="宋体" w:cs="宋体"/>
                <w:color w:val="555555"/>
                <w:kern w:val="0"/>
                <w:szCs w:val="21"/>
              </w:rPr>
            </w:pPr>
          </w:p>
        </w:tc>
        <w:tc>
          <w:tcPr>
            <w:tcW w:w="7869" w:type="dxa"/>
            <w:vAlign w:val="center"/>
          </w:tcPr>
          <w:p>
            <w:pPr>
              <w:tabs>
                <w:tab w:val="left" w:pos="612"/>
              </w:tabs>
              <w:spacing w:beforeLines="50" w:afterLines="50" w:line="360" w:lineRule="auto"/>
              <w:rPr>
                <w:rFonts w:ascii="宋体" w:hAnsi="宋体" w:eastAsia="宋体" w:cs="宋体"/>
                <w:color w:val="555555"/>
                <w:kern w:val="0"/>
                <w:szCs w:val="21"/>
              </w:rPr>
            </w:pPr>
            <w:r>
              <w:rPr>
                <w:rFonts w:hint="eastAsia" w:ascii="宋体" w:hAnsi="宋体" w:eastAsia="宋体" w:cs="宋体"/>
                <w:color w:val="555555"/>
                <w:kern w:val="0"/>
                <w:szCs w:val="21"/>
              </w:rPr>
              <w:t>投标文件完全满足招标文件的实质性条款无负偏离的；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8" w:hRule="atLeast"/>
          <w:jc w:val="center"/>
        </w:trPr>
        <w:tc>
          <w:tcPr>
            <w:tcW w:w="1591" w:type="dxa"/>
            <w:vMerge w:val="continue"/>
          </w:tcPr>
          <w:p>
            <w:pPr>
              <w:spacing w:line="360" w:lineRule="auto"/>
              <w:rPr>
                <w:rFonts w:ascii="宋体" w:hAnsi="宋体" w:eastAsia="宋体" w:cs="宋体"/>
                <w:color w:val="555555"/>
                <w:kern w:val="0"/>
                <w:szCs w:val="21"/>
              </w:rPr>
            </w:pPr>
          </w:p>
        </w:tc>
        <w:tc>
          <w:tcPr>
            <w:tcW w:w="7869" w:type="dxa"/>
            <w:vAlign w:val="center"/>
          </w:tcPr>
          <w:p>
            <w:pPr>
              <w:spacing w:beforeLines="50" w:afterLines="50" w:line="360" w:lineRule="auto"/>
              <w:rPr>
                <w:rFonts w:ascii="宋体" w:hAnsi="宋体" w:eastAsia="宋体" w:cs="宋体"/>
                <w:color w:val="555555"/>
                <w:kern w:val="0"/>
                <w:szCs w:val="21"/>
              </w:rPr>
            </w:pPr>
            <w:r>
              <w:rPr>
                <w:rFonts w:hint="eastAsia" w:ascii="宋体" w:hAnsi="宋体" w:eastAsia="宋体" w:cs="宋体"/>
                <w:color w:val="555555"/>
                <w:kern w:val="0"/>
                <w:szCs w:val="21"/>
              </w:rPr>
              <w:t>投标文件没有招标文件中规定的其它无效投标条款的；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jc w:val="center"/>
        </w:trPr>
        <w:tc>
          <w:tcPr>
            <w:tcW w:w="1591" w:type="dxa"/>
            <w:vMerge w:val="continue"/>
          </w:tcPr>
          <w:p>
            <w:pPr>
              <w:spacing w:line="360" w:lineRule="auto"/>
              <w:rPr>
                <w:rFonts w:ascii="宋体" w:hAnsi="宋体" w:eastAsia="宋体" w:cs="宋体"/>
                <w:color w:val="555555"/>
                <w:kern w:val="0"/>
                <w:szCs w:val="21"/>
              </w:rPr>
            </w:pPr>
          </w:p>
        </w:tc>
        <w:tc>
          <w:tcPr>
            <w:tcW w:w="7869" w:type="dxa"/>
            <w:vAlign w:val="center"/>
          </w:tcPr>
          <w:p>
            <w:pPr>
              <w:spacing w:beforeLines="50" w:afterLines="50" w:line="360" w:lineRule="auto"/>
              <w:rPr>
                <w:rFonts w:ascii="宋体" w:hAnsi="宋体" w:eastAsia="宋体" w:cs="宋体"/>
                <w:color w:val="555555"/>
                <w:kern w:val="0"/>
                <w:szCs w:val="21"/>
              </w:rPr>
            </w:pPr>
            <w:r>
              <w:rPr>
                <w:rFonts w:hint="eastAsia" w:ascii="宋体" w:hAnsi="宋体" w:eastAsia="宋体" w:cs="宋体"/>
                <w:color w:val="555555"/>
                <w:kern w:val="0"/>
                <w:szCs w:val="21"/>
              </w:rPr>
              <w:t>按有关法律、法规、规章不属于投标无效的。</w:t>
            </w:r>
          </w:p>
        </w:tc>
      </w:tr>
    </w:tbl>
    <w:p>
      <w:pPr>
        <w:spacing w:line="360" w:lineRule="auto"/>
        <w:rPr>
          <w:rFonts w:ascii="宋体" w:hAnsi="宋体" w:eastAsia="宋体" w:cs="宋体"/>
          <w:color w:val="555555"/>
          <w:kern w:val="0"/>
          <w:szCs w:val="21"/>
        </w:rPr>
      </w:pPr>
      <w:r>
        <w:rPr>
          <w:rFonts w:hint="eastAsia" w:ascii="宋体" w:hAnsi="宋体" w:eastAsia="宋体" w:cs="宋体"/>
          <w:color w:val="555555"/>
          <w:kern w:val="0"/>
          <w:szCs w:val="21"/>
        </w:rPr>
        <w:t>3.实质审查与比较</w:t>
      </w:r>
    </w:p>
    <w:p>
      <w:pPr>
        <w:spacing w:line="360" w:lineRule="auto"/>
        <w:ind w:firstLine="420" w:firstLineChars="200"/>
        <w:rPr>
          <w:rFonts w:ascii="宋体" w:hAnsi="宋体" w:eastAsia="宋体" w:cs="宋体"/>
          <w:color w:val="555555"/>
          <w:kern w:val="0"/>
          <w:szCs w:val="21"/>
        </w:rPr>
      </w:pPr>
      <w:r>
        <w:rPr>
          <w:rFonts w:hint="eastAsia" w:ascii="宋体" w:hAnsi="宋体" w:eastAsia="宋体" w:cs="宋体"/>
          <w:color w:val="555555"/>
          <w:kern w:val="0"/>
          <w:szCs w:val="21"/>
        </w:rPr>
        <w:t>（1）评标委员会审查投标文件的实质性内容是否符合招标文件的实质性要求。</w:t>
      </w:r>
    </w:p>
    <w:p>
      <w:pPr>
        <w:spacing w:line="360" w:lineRule="auto"/>
        <w:ind w:firstLine="420" w:firstLineChars="200"/>
        <w:rPr>
          <w:rFonts w:ascii="宋体" w:hAnsi="宋体" w:eastAsia="宋体" w:cs="宋体"/>
          <w:color w:val="555555"/>
          <w:kern w:val="0"/>
          <w:szCs w:val="21"/>
        </w:rPr>
      </w:pPr>
      <w:r>
        <w:rPr>
          <w:rFonts w:hint="eastAsia" w:ascii="宋体" w:hAnsi="宋体" w:eastAsia="宋体" w:cs="宋体"/>
          <w:color w:val="555555"/>
          <w:kern w:val="0"/>
          <w:szCs w:val="21"/>
        </w:rPr>
        <w:t>（2）评标委员会将根据投标人的投标文件进行审查、核对,如有疑问,将对投标人进行询标,投标人要向评标委员会澄清有关问题,并最终以书面形式进行答复。</w:t>
      </w:r>
    </w:p>
    <w:p>
      <w:pPr>
        <w:spacing w:line="360" w:lineRule="auto"/>
        <w:ind w:firstLine="420" w:firstLineChars="200"/>
        <w:rPr>
          <w:rFonts w:ascii="宋体" w:hAnsi="宋体" w:eastAsia="宋体" w:cs="宋体"/>
          <w:color w:val="555555"/>
          <w:kern w:val="0"/>
          <w:szCs w:val="21"/>
        </w:rPr>
      </w:pPr>
      <w:r>
        <w:rPr>
          <w:rFonts w:hint="eastAsia" w:ascii="宋体" w:hAnsi="宋体" w:eastAsia="宋体" w:cs="宋体"/>
          <w:color w:val="555555"/>
          <w:kern w:val="0"/>
          <w:szCs w:val="21"/>
        </w:rPr>
        <w:t>（3）投标人代表未到场或者拒绝澄清或者澄清的内容改变了投标文件的实质性内容的，评标委员会有权对该投标文件做出不利于投标人的评判。</w:t>
      </w:r>
    </w:p>
    <w:p>
      <w:pPr>
        <w:spacing w:line="360" w:lineRule="auto"/>
        <w:ind w:firstLine="420" w:firstLineChars="200"/>
        <w:rPr>
          <w:rFonts w:ascii="宋体" w:hAnsi="宋体" w:eastAsia="宋体" w:cs="宋体"/>
          <w:color w:val="555555"/>
          <w:kern w:val="0"/>
          <w:szCs w:val="21"/>
        </w:rPr>
      </w:pPr>
      <w:r>
        <w:rPr>
          <w:rFonts w:hint="eastAsia" w:ascii="宋体" w:hAnsi="宋体" w:eastAsia="宋体" w:cs="宋体"/>
          <w:color w:val="555555"/>
          <w:kern w:val="0"/>
          <w:szCs w:val="21"/>
        </w:rPr>
        <w:t>（4）各投标人的技术得分为所有评委的有效评分的算术平均数，由指定专人进行计算复核。对明显畸高、畸低的评分（其总评分偏离平均分30%以上的），评委须进行复核或书面说明理由。</w:t>
      </w:r>
    </w:p>
    <w:p>
      <w:pPr>
        <w:spacing w:line="360" w:lineRule="auto"/>
        <w:ind w:firstLine="420" w:firstLineChars="200"/>
        <w:rPr>
          <w:rFonts w:ascii="宋体" w:hAnsi="宋体" w:eastAsia="宋体" w:cs="宋体"/>
          <w:color w:val="555555"/>
          <w:kern w:val="0"/>
          <w:szCs w:val="21"/>
        </w:rPr>
      </w:pPr>
      <w:r>
        <w:rPr>
          <w:rFonts w:hint="eastAsia" w:ascii="宋体" w:hAnsi="宋体" w:eastAsia="宋体" w:cs="宋体"/>
          <w:color w:val="555555"/>
          <w:kern w:val="0"/>
          <w:szCs w:val="21"/>
        </w:rPr>
        <w:t>（5）评标委员会根据本项目的评分标准计算各投标人的报价得分。</w:t>
      </w:r>
    </w:p>
    <w:p>
      <w:pPr>
        <w:spacing w:line="360" w:lineRule="auto"/>
        <w:ind w:firstLine="420" w:firstLineChars="200"/>
        <w:rPr>
          <w:rFonts w:ascii="宋体" w:hAnsi="宋体" w:eastAsia="宋体" w:cs="宋体"/>
          <w:color w:val="555555"/>
          <w:kern w:val="0"/>
          <w:szCs w:val="21"/>
        </w:rPr>
      </w:pPr>
      <w:r>
        <w:rPr>
          <w:rFonts w:hint="eastAsia" w:ascii="宋体" w:hAnsi="宋体" w:eastAsia="宋体" w:cs="宋体"/>
          <w:color w:val="555555"/>
          <w:kern w:val="0"/>
          <w:szCs w:val="21"/>
        </w:rPr>
        <w:t>（6）评标委员会完成评标后,评委对各部分得分汇总,计算出本项目最终得分。评标委员会按评标原则参考中标候选人同时起草评标报告。</w:t>
      </w:r>
    </w:p>
    <w:p>
      <w:pPr>
        <w:widowControl/>
        <w:spacing w:line="288" w:lineRule="atLeast"/>
        <w:jc w:val="left"/>
        <w:rPr>
          <w:rFonts w:ascii="宋体" w:hAnsi="宋体" w:eastAsia="宋体" w:cs="宋体"/>
          <w:color w:val="555555"/>
          <w:kern w:val="0"/>
          <w:szCs w:val="21"/>
        </w:rPr>
      </w:pPr>
      <w:r>
        <w:rPr>
          <w:rFonts w:hint="eastAsia" w:ascii="宋体" w:hAnsi="宋体" w:eastAsia="宋体" w:cs="宋体"/>
          <w:color w:val="555555"/>
          <w:kern w:val="0"/>
          <w:szCs w:val="21"/>
        </w:rPr>
        <w:t>三、</w:t>
      </w:r>
      <w:bookmarkStart w:id="21" w:name="OLE_LINK55"/>
      <w:bookmarkStart w:id="22" w:name="OLE_LINK56"/>
      <w:r>
        <w:rPr>
          <w:rFonts w:hint="eastAsia" w:ascii="宋体" w:hAnsi="宋体" w:cs="宋体"/>
          <w:b/>
          <w:sz w:val="24"/>
        </w:rPr>
        <w:t>评分方法</w:t>
      </w:r>
      <w:bookmarkEnd w:id="21"/>
      <w:bookmarkEnd w:id="22"/>
    </w:p>
    <w:p>
      <w:pPr>
        <w:spacing w:line="360" w:lineRule="auto"/>
        <w:ind w:firstLine="420" w:firstLineChars="200"/>
        <w:rPr>
          <w:rFonts w:hint="eastAsia" w:ascii="宋体" w:hAnsi="宋体" w:eastAsia="宋体" w:cs="宋体"/>
          <w:color w:val="555555"/>
          <w:kern w:val="0"/>
          <w:szCs w:val="21"/>
        </w:rPr>
      </w:pPr>
      <w:r>
        <w:rPr>
          <w:rFonts w:hint="eastAsia" w:ascii="宋体" w:hAnsi="宋体" w:eastAsia="宋体" w:cs="宋体"/>
          <w:color w:val="555555"/>
          <w:kern w:val="0"/>
          <w:szCs w:val="21"/>
        </w:rPr>
        <w:t>本项目采用公开方式评标，评标的依据为招标文件和投标文件。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outlineLvl w:val="0"/>
        <w:rPr>
          <w:rFonts w:hint="default" w:ascii="Arial" w:hAnsi="Arial" w:cs="Arial"/>
          <w:b/>
          <w:bCs/>
          <w:sz w:val="32"/>
          <w:szCs w:val="32"/>
        </w:rPr>
      </w:pPr>
      <w:bookmarkStart w:id="23" w:name="_Toc18624"/>
      <w:r>
        <w:rPr>
          <w:rFonts w:hint="eastAsia" w:ascii="Arial" w:hAnsi="Arial" w:cs="Arial"/>
          <w:b/>
          <w:bCs/>
          <w:sz w:val="32"/>
          <w:szCs w:val="32"/>
        </w:rPr>
        <w:t>评分标准与细则</w:t>
      </w:r>
      <w:bookmarkEnd w:id="23"/>
    </w:p>
    <w:tbl>
      <w:tblPr>
        <w:tblStyle w:val="16"/>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0"/>
        <w:gridCol w:w="852"/>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70" w:type="dxa"/>
            <w:vAlign w:val="center"/>
          </w:tcPr>
          <w:p>
            <w:pPr>
              <w:pStyle w:val="4"/>
              <w:keepNext w:val="0"/>
              <w:keepLines w:val="0"/>
              <w:pageBreakBefore w:val="0"/>
              <w:kinsoku/>
              <w:wordWrap/>
              <w:overflowPunct/>
              <w:topLinePunct w:val="0"/>
              <w:bidi w:val="0"/>
              <w:snapToGrid w:val="0"/>
              <w:spacing w:after="0" w:line="360" w:lineRule="auto"/>
              <w:jc w:val="center"/>
              <w:textAlignment w:val="auto"/>
              <w:rPr>
                <w:rFonts w:hint="default" w:ascii="Arial" w:hAnsi="Arial" w:eastAsia="宋体" w:cs="Arial"/>
                <w:b/>
                <w:bCs/>
                <w:sz w:val="24"/>
                <w:szCs w:val="24"/>
              </w:rPr>
            </w:pPr>
            <w:r>
              <w:rPr>
                <w:rFonts w:hint="default" w:ascii="Arial" w:hAnsi="Arial" w:eastAsia="宋体" w:cs="Arial"/>
                <w:b/>
                <w:bCs/>
                <w:sz w:val="24"/>
                <w:szCs w:val="24"/>
              </w:rPr>
              <w:t>评分项目</w:t>
            </w:r>
          </w:p>
        </w:tc>
        <w:tc>
          <w:tcPr>
            <w:tcW w:w="852" w:type="dxa"/>
            <w:vAlign w:val="center"/>
          </w:tcPr>
          <w:p>
            <w:pPr>
              <w:pStyle w:val="4"/>
              <w:keepNext w:val="0"/>
              <w:keepLines w:val="0"/>
              <w:pageBreakBefore w:val="0"/>
              <w:kinsoku/>
              <w:wordWrap/>
              <w:overflowPunct/>
              <w:topLinePunct w:val="0"/>
              <w:bidi w:val="0"/>
              <w:snapToGrid w:val="0"/>
              <w:spacing w:after="0" w:line="360" w:lineRule="auto"/>
              <w:jc w:val="center"/>
              <w:textAlignment w:val="auto"/>
              <w:rPr>
                <w:rFonts w:hint="default" w:ascii="Arial" w:hAnsi="Arial" w:eastAsia="宋体" w:cs="Arial"/>
                <w:b/>
                <w:bCs/>
                <w:sz w:val="24"/>
                <w:szCs w:val="24"/>
              </w:rPr>
            </w:pPr>
            <w:r>
              <w:rPr>
                <w:rFonts w:hint="default" w:ascii="Arial" w:hAnsi="Arial" w:eastAsia="宋体" w:cs="Arial"/>
                <w:b/>
                <w:bCs/>
                <w:sz w:val="24"/>
                <w:szCs w:val="24"/>
              </w:rPr>
              <w:t>分值</w:t>
            </w:r>
          </w:p>
        </w:tc>
        <w:tc>
          <w:tcPr>
            <w:tcW w:w="7087" w:type="dxa"/>
            <w:vAlign w:val="center"/>
          </w:tcPr>
          <w:p>
            <w:pPr>
              <w:pStyle w:val="4"/>
              <w:keepNext w:val="0"/>
              <w:keepLines w:val="0"/>
              <w:pageBreakBefore w:val="0"/>
              <w:kinsoku/>
              <w:wordWrap/>
              <w:overflowPunct/>
              <w:topLinePunct w:val="0"/>
              <w:bidi w:val="0"/>
              <w:snapToGrid w:val="0"/>
              <w:spacing w:after="0" w:line="360" w:lineRule="auto"/>
              <w:jc w:val="center"/>
              <w:textAlignment w:val="auto"/>
              <w:rPr>
                <w:rFonts w:hint="default" w:ascii="Arial" w:hAnsi="Arial" w:eastAsia="宋体" w:cs="Arial"/>
                <w:b/>
                <w:bCs/>
                <w:sz w:val="24"/>
                <w:szCs w:val="24"/>
              </w:rPr>
            </w:pPr>
            <w:r>
              <w:rPr>
                <w:rFonts w:hint="default" w:ascii="Arial" w:hAnsi="Arial" w:eastAsia="宋体" w:cs="Arial"/>
                <w:b/>
                <w:bCs/>
                <w:sz w:val="24"/>
                <w:szCs w:val="24"/>
              </w:rPr>
              <w:t>评标要点及说明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209" w:type="dxa"/>
            <w:gridSpan w:val="3"/>
            <w:vAlign w:val="center"/>
          </w:tcPr>
          <w:p>
            <w:pPr>
              <w:pStyle w:val="4"/>
              <w:keepNext w:val="0"/>
              <w:keepLines w:val="0"/>
              <w:pageBreakBefore w:val="0"/>
              <w:kinsoku/>
              <w:wordWrap/>
              <w:overflowPunct/>
              <w:topLinePunct w:val="0"/>
              <w:bidi w:val="0"/>
              <w:snapToGrid w:val="0"/>
              <w:spacing w:after="0" w:line="360" w:lineRule="auto"/>
              <w:textAlignment w:val="auto"/>
              <w:rPr>
                <w:rFonts w:hint="default" w:ascii="Arial" w:hAnsi="Arial" w:eastAsia="宋体" w:cs="Arial"/>
                <w:b/>
                <w:bCs/>
                <w:sz w:val="24"/>
                <w:szCs w:val="24"/>
              </w:rPr>
            </w:pPr>
            <w:r>
              <w:rPr>
                <w:rFonts w:hint="default" w:ascii="Arial" w:hAnsi="Arial" w:eastAsia="宋体" w:cs="Arial"/>
                <w:b/>
                <w:bCs/>
                <w:sz w:val="24"/>
                <w:szCs w:val="24"/>
              </w:rPr>
              <w:t>一、报价部分（10分）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70" w:type="dxa"/>
            <w:vAlign w:val="center"/>
          </w:tcPr>
          <w:p>
            <w:pPr>
              <w:pStyle w:val="4"/>
              <w:keepNext w:val="0"/>
              <w:keepLines w:val="0"/>
              <w:pageBreakBefore w:val="0"/>
              <w:kinsoku/>
              <w:wordWrap/>
              <w:overflowPunct/>
              <w:topLinePunct w:val="0"/>
              <w:bidi w:val="0"/>
              <w:snapToGrid w:val="0"/>
              <w:spacing w:after="0" w:line="360" w:lineRule="auto"/>
              <w:jc w:val="center"/>
              <w:textAlignment w:val="auto"/>
              <w:rPr>
                <w:rFonts w:hint="default" w:ascii="Arial" w:hAnsi="Arial" w:eastAsia="宋体" w:cs="Arial"/>
                <w:sz w:val="24"/>
                <w:szCs w:val="24"/>
              </w:rPr>
            </w:pPr>
            <w:r>
              <w:rPr>
                <w:rFonts w:hint="default" w:ascii="Arial" w:hAnsi="Arial" w:eastAsia="宋体" w:cs="Arial"/>
                <w:sz w:val="24"/>
                <w:szCs w:val="24"/>
              </w:rPr>
              <w:t>投标报价</w:t>
            </w:r>
          </w:p>
        </w:tc>
        <w:tc>
          <w:tcPr>
            <w:tcW w:w="852" w:type="dxa"/>
            <w:vAlign w:val="center"/>
          </w:tcPr>
          <w:p>
            <w:pPr>
              <w:pStyle w:val="4"/>
              <w:keepNext w:val="0"/>
              <w:keepLines w:val="0"/>
              <w:pageBreakBefore w:val="0"/>
              <w:kinsoku/>
              <w:wordWrap/>
              <w:overflowPunct/>
              <w:topLinePunct w:val="0"/>
              <w:bidi w:val="0"/>
              <w:snapToGrid w:val="0"/>
              <w:spacing w:after="0" w:line="360" w:lineRule="auto"/>
              <w:jc w:val="center"/>
              <w:textAlignment w:val="auto"/>
              <w:rPr>
                <w:rFonts w:hint="default" w:ascii="Arial" w:hAnsi="Arial" w:eastAsia="宋体" w:cs="Arial"/>
                <w:sz w:val="24"/>
                <w:szCs w:val="24"/>
              </w:rPr>
            </w:pPr>
            <w:r>
              <w:rPr>
                <w:rFonts w:hint="default" w:ascii="Arial" w:hAnsi="Arial" w:eastAsia="宋体" w:cs="Arial"/>
                <w:sz w:val="24"/>
                <w:szCs w:val="24"/>
              </w:rPr>
              <w:t>10</w:t>
            </w:r>
          </w:p>
        </w:tc>
        <w:tc>
          <w:tcPr>
            <w:tcW w:w="7087" w:type="dxa"/>
            <w:vAlign w:val="center"/>
          </w:tcPr>
          <w:p>
            <w:pPr>
              <w:pStyle w:val="4"/>
              <w:keepNext w:val="0"/>
              <w:keepLines w:val="0"/>
              <w:pageBreakBefore w:val="0"/>
              <w:kinsoku/>
              <w:wordWrap/>
              <w:overflowPunct/>
              <w:topLinePunct w:val="0"/>
              <w:bidi w:val="0"/>
              <w:snapToGrid w:val="0"/>
              <w:spacing w:after="0" w:line="360" w:lineRule="auto"/>
              <w:textAlignment w:val="auto"/>
              <w:rPr>
                <w:rFonts w:hint="default" w:ascii="Arial" w:hAnsi="Arial" w:eastAsia="宋体" w:cs="Arial"/>
                <w:sz w:val="24"/>
                <w:szCs w:val="24"/>
              </w:rPr>
            </w:pPr>
            <w:r>
              <w:rPr>
                <w:rFonts w:hint="default" w:ascii="Arial" w:hAnsi="Arial" w:eastAsia="宋体" w:cs="Arial"/>
                <w:sz w:val="24"/>
                <w:szCs w:val="24"/>
              </w:rPr>
              <w:t>满足招标文件要求且有效投标价格中的最低价（评审价）为评标基准价，其价格分为满分10分。</w:t>
            </w:r>
          </w:p>
          <w:p>
            <w:pPr>
              <w:pStyle w:val="4"/>
              <w:keepNext w:val="0"/>
              <w:keepLines w:val="0"/>
              <w:pageBreakBefore w:val="0"/>
              <w:kinsoku/>
              <w:wordWrap/>
              <w:overflowPunct/>
              <w:topLinePunct w:val="0"/>
              <w:bidi w:val="0"/>
              <w:snapToGrid w:val="0"/>
              <w:spacing w:after="0" w:line="360" w:lineRule="auto"/>
              <w:textAlignment w:val="auto"/>
              <w:rPr>
                <w:rFonts w:hint="default" w:ascii="Arial" w:hAnsi="Arial" w:eastAsia="宋体" w:cs="Arial"/>
                <w:sz w:val="24"/>
                <w:szCs w:val="24"/>
              </w:rPr>
            </w:pPr>
            <w:r>
              <w:rPr>
                <w:rFonts w:hint="default" w:ascii="Arial" w:hAnsi="Arial" w:eastAsia="宋体" w:cs="Arial"/>
                <w:sz w:val="24"/>
                <w:szCs w:val="24"/>
              </w:rPr>
              <w:t>其他投标人的价格分统一按照下列公式计算：</w:t>
            </w:r>
          </w:p>
          <w:p>
            <w:pPr>
              <w:keepNext w:val="0"/>
              <w:keepLines w:val="0"/>
              <w:pageBreakBefore w:val="0"/>
              <w:kinsoku/>
              <w:wordWrap/>
              <w:overflowPunct/>
              <w:topLinePunct w:val="0"/>
              <w:bidi w:val="0"/>
              <w:snapToGrid w:val="0"/>
              <w:spacing w:line="360" w:lineRule="auto"/>
              <w:textAlignment w:val="auto"/>
              <w:rPr>
                <w:rFonts w:hint="default" w:ascii="Arial" w:hAnsi="Arial" w:eastAsia="宋体" w:cs="Arial"/>
                <w:sz w:val="24"/>
                <w:szCs w:val="24"/>
              </w:rPr>
            </w:pPr>
            <w:r>
              <w:rPr>
                <w:rFonts w:hint="default" w:ascii="Arial" w:hAnsi="Arial" w:eastAsia="宋体" w:cs="Arial"/>
                <w:sz w:val="24"/>
                <w:szCs w:val="24"/>
              </w:rPr>
              <w:t>投标报价得分=（评标基准价/投标报价）×价格权值（即10%）×100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209" w:type="dxa"/>
            <w:gridSpan w:val="3"/>
            <w:vAlign w:val="center"/>
          </w:tcPr>
          <w:p>
            <w:pPr>
              <w:pStyle w:val="4"/>
              <w:keepNext w:val="0"/>
              <w:keepLines w:val="0"/>
              <w:pageBreakBefore w:val="0"/>
              <w:kinsoku/>
              <w:wordWrap/>
              <w:overflowPunct/>
              <w:topLinePunct w:val="0"/>
              <w:bidi w:val="0"/>
              <w:snapToGrid w:val="0"/>
              <w:spacing w:after="0" w:line="360" w:lineRule="auto"/>
              <w:jc w:val="left"/>
              <w:textAlignment w:val="auto"/>
              <w:rPr>
                <w:rFonts w:hint="default" w:ascii="Arial" w:hAnsi="Arial" w:eastAsia="宋体" w:cs="Arial"/>
                <w:b/>
                <w:bCs/>
                <w:sz w:val="24"/>
                <w:szCs w:val="24"/>
              </w:rPr>
            </w:pPr>
            <w:r>
              <w:rPr>
                <w:rFonts w:hint="default" w:ascii="Arial" w:hAnsi="Arial" w:eastAsia="宋体" w:cs="Arial"/>
                <w:b/>
                <w:bCs/>
                <w:sz w:val="24"/>
                <w:szCs w:val="24"/>
              </w:rPr>
              <w:t>二、技术部分（</w:t>
            </w:r>
            <w:r>
              <w:rPr>
                <w:rFonts w:hint="eastAsia" w:ascii="Arial" w:hAnsi="Arial" w:cs="Arial"/>
                <w:b/>
                <w:bCs/>
                <w:sz w:val="24"/>
                <w:szCs w:val="24"/>
                <w:lang w:val="en-US" w:eastAsia="zh-CN"/>
              </w:rPr>
              <w:t>70</w:t>
            </w:r>
            <w:r>
              <w:rPr>
                <w:rFonts w:hint="default" w:ascii="Arial" w:hAnsi="Arial" w:eastAsia="宋体" w:cs="Arial"/>
                <w:b/>
                <w:bCs/>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70" w:type="dxa"/>
            <w:vAlign w:val="center"/>
          </w:tcPr>
          <w:p>
            <w:pPr>
              <w:pStyle w:val="4"/>
              <w:keepNext w:val="0"/>
              <w:keepLines w:val="0"/>
              <w:pageBreakBefore w:val="0"/>
              <w:kinsoku/>
              <w:wordWrap/>
              <w:overflowPunct/>
              <w:topLinePunct w:val="0"/>
              <w:bidi w:val="0"/>
              <w:snapToGrid w:val="0"/>
              <w:spacing w:after="0" w:line="360" w:lineRule="auto"/>
              <w:jc w:val="center"/>
              <w:textAlignment w:val="auto"/>
              <w:rPr>
                <w:rFonts w:hint="default" w:ascii="Arial" w:hAnsi="Arial" w:eastAsia="宋体" w:cs="Arial"/>
                <w:sz w:val="24"/>
                <w:szCs w:val="24"/>
              </w:rPr>
            </w:pPr>
            <w:r>
              <w:rPr>
                <w:rFonts w:hint="default" w:ascii="Arial" w:hAnsi="Arial" w:eastAsia="宋体" w:cs="Arial"/>
                <w:sz w:val="24"/>
                <w:szCs w:val="24"/>
              </w:rPr>
              <w:t>产品性能、技术指标（2</w:t>
            </w:r>
            <w:r>
              <w:rPr>
                <w:rFonts w:hint="eastAsia" w:ascii="Arial" w:hAnsi="Arial" w:cs="Arial"/>
                <w:sz w:val="24"/>
                <w:szCs w:val="24"/>
                <w:lang w:val="en-US" w:eastAsia="zh-CN"/>
              </w:rPr>
              <w:t>5</w:t>
            </w:r>
            <w:r>
              <w:rPr>
                <w:rFonts w:hint="default" w:ascii="Arial" w:hAnsi="Arial" w:eastAsia="宋体" w:cs="Arial"/>
                <w:sz w:val="24"/>
                <w:szCs w:val="24"/>
              </w:rPr>
              <w:t>分）</w:t>
            </w:r>
          </w:p>
        </w:tc>
        <w:tc>
          <w:tcPr>
            <w:tcW w:w="852" w:type="dxa"/>
            <w:vAlign w:val="center"/>
          </w:tcPr>
          <w:p>
            <w:pPr>
              <w:pStyle w:val="4"/>
              <w:keepNext w:val="0"/>
              <w:keepLines w:val="0"/>
              <w:pageBreakBefore w:val="0"/>
              <w:kinsoku/>
              <w:wordWrap/>
              <w:overflowPunct/>
              <w:topLinePunct w:val="0"/>
              <w:bidi w:val="0"/>
              <w:snapToGrid w:val="0"/>
              <w:spacing w:after="0" w:line="360" w:lineRule="auto"/>
              <w:jc w:val="center"/>
              <w:textAlignment w:val="auto"/>
              <w:rPr>
                <w:rFonts w:hint="default" w:ascii="Arial" w:hAnsi="Arial" w:eastAsia="宋体" w:cs="Arial"/>
                <w:sz w:val="24"/>
                <w:szCs w:val="24"/>
                <w:lang w:val="en-US" w:eastAsia="zh-CN"/>
              </w:rPr>
            </w:pPr>
            <w:r>
              <w:rPr>
                <w:rFonts w:hint="default" w:ascii="Arial" w:hAnsi="Arial" w:eastAsia="宋体" w:cs="Arial"/>
                <w:sz w:val="24"/>
                <w:szCs w:val="24"/>
                <w:lang w:val="en-US" w:eastAsia="zh-CN"/>
              </w:rPr>
              <w:t>2</w:t>
            </w:r>
            <w:r>
              <w:rPr>
                <w:rFonts w:hint="eastAsia" w:ascii="Arial" w:hAnsi="Arial" w:cs="Arial"/>
                <w:sz w:val="24"/>
                <w:szCs w:val="24"/>
                <w:lang w:val="en-US" w:eastAsia="zh-CN"/>
              </w:rPr>
              <w:t>5</w:t>
            </w:r>
          </w:p>
        </w:tc>
        <w:tc>
          <w:tcPr>
            <w:tcW w:w="7087" w:type="dxa"/>
            <w:vAlign w:val="center"/>
          </w:tcPr>
          <w:p>
            <w:pPr>
              <w:pStyle w:val="4"/>
              <w:keepNext w:val="0"/>
              <w:keepLines w:val="0"/>
              <w:pageBreakBefore w:val="0"/>
              <w:kinsoku/>
              <w:wordWrap/>
              <w:overflowPunct/>
              <w:topLinePunct w:val="0"/>
              <w:bidi w:val="0"/>
              <w:snapToGrid w:val="0"/>
              <w:spacing w:after="0" w:line="360" w:lineRule="auto"/>
              <w:textAlignment w:val="auto"/>
              <w:rPr>
                <w:rFonts w:hint="default" w:ascii="Arial" w:hAnsi="Arial" w:eastAsia="宋体" w:cs="Arial"/>
                <w:sz w:val="24"/>
                <w:szCs w:val="24"/>
              </w:rPr>
            </w:pPr>
            <w:r>
              <w:rPr>
                <w:rFonts w:hint="default" w:ascii="Arial" w:hAnsi="Arial" w:eastAsia="宋体" w:cs="Arial"/>
                <w:sz w:val="24"/>
                <w:szCs w:val="24"/>
              </w:rPr>
              <w:t>根据“2招标要求”中的技术响应情况进行打分：</w:t>
            </w:r>
          </w:p>
          <w:p>
            <w:pPr>
              <w:pStyle w:val="4"/>
              <w:keepNext w:val="0"/>
              <w:keepLines w:val="0"/>
              <w:pageBreakBefore w:val="0"/>
              <w:kinsoku/>
              <w:wordWrap/>
              <w:overflowPunct/>
              <w:topLinePunct w:val="0"/>
              <w:bidi w:val="0"/>
              <w:snapToGrid w:val="0"/>
              <w:spacing w:after="0" w:line="360" w:lineRule="auto"/>
              <w:textAlignment w:val="auto"/>
              <w:rPr>
                <w:rFonts w:hint="default" w:ascii="Arial" w:hAnsi="Arial" w:eastAsia="宋体" w:cs="Arial"/>
                <w:sz w:val="24"/>
                <w:szCs w:val="24"/>
              </w:rPr>
            </w:pPr>
            <w:r>
              <w:rPr>
                <w:rFonts w:hint="default" w:ascii="Arial" w:hAnsi="Arial" w:eastAsia="宋体" w:cs="Arial"/>
                <w:sz w:val="24"/>
                <w:szCs w:val="24"/>
              </w:rPr>
              <w:t>全部响应，无偏离项得</w:t>
            </w:r>
            <w:r>
              <w:rPr>
                <w:rFonts w:hint="eastAsia" w:ascii="Arial" w:hAnsi="Arial" w:eastAsia="宋体" w:cs="Arial"/>
                <w:sz w:val="24"/>
                <w:szCs w:val="24"/>
                <w:lang w:val="en-US" w:eastAsia="zh-CN"/>
              </w:rPr>
              <w:t>2</w:t>
            </w:r>
            <w:r>
              <w:rPr>
                <w:rFonts w:hint="eastAsia" w:ascii="Arial" w:hAnsi="Arial" w:cs="Arial"/>
                <w:sz w:val="24"/>
                <w:szCs w:val="24"/>
                <w:lang w:val="en-US" w:eastAsia="zh-CN"/>
              </w:rPr>
              <w:t>5</w:t>
            </w:r>
            <w:r>
              <w:rPr>
                <w:rFonts w:hint="default" w:ascii="Arial" w:hAnsi="Arial" w:eastAsia="宋体" w:cs="Arial"/>
                <w:sz w:val="24"/>
                <w:szCs w:val="24"/>
              </w:rPr>
              <w:t>分。</w:t>
            </w:r>
          </w:p>
          <w:p>
            <w:pPr>
              <w:pStyle w:val="4"/>
              <w:keepNext w:val="0"/>
              <w:keepLines w:val="0"/>
              <w:pageBreakBefore w:val="0"/>
              <w:kinsoku/>
              <w:wordWrap/>
              <w:overflowPunct/>
              <w:topLinePunct w:val="0"/>
              <w:bidi w:val="0"/>
              <w:snapToGrid w:val="0"/>
              <w:spacing w:after="0" w:line="360" w:lineRule="auto"/>
              <w:textAlignment w:val="auto"/>
              <w:rPr>
                <w:rFonts w:hint="default" w:ascii="Arial" w:hAnsi="Arial" w:eastAsia="宋体" w:cs="Arial"/>
                <w:sz w:val="24"/>
                <w:szCs w:val="24"/>
              </w:rPr>
            </w:pPr>
            <w:r>
              <w:rPr>
                <w:rFonts w:hint="default" w:ascii="Arial" w:hAnsi="Arial" w:eastAsia="宋体" w:cs="Arial"/>
                <w:sz w:val="24"/>
                <w:szCs w:val="24"/>
              </w:rPr>
              <w:t>系统功能需求中标“</w:t>
            </w:r>
            <w:r>
              <w:rPr>
                <w:rFonts w:hint="eastAsia" w:ascii="宋体" w:hAnsi="宋体" w:eastAsia="宋体" w:cs="宋体"/>
                <w:kern w:val="0"/>
                <w:szCs w:val="21"/>
              </w:rPr>
              <w:t>★</w:t>
            </w:r>
            <w:r>
              <w:rPr>
                <w:rFonts w:hint="default" w:ascii="Arial" w:hAnsi="Arial" w:eastAsia="宋体" w:cs="Arial"/>
                <w:sz w:val="24"/>
                <w:szCs w:val="24"/>
              </w:rPr>
              <w:t>”项为重点参数，需提供系统功能截图，每有一项负偏离扣2分。其他未标“</w:t>
            </w:r>
            <w:r>
              <w:rPr>
                <w:rFonts w:hint="eastAsia" w:ascii="宋体" w:hAnsi="宋体" w:eastAsia="宋体" w:cs="宋体"/>
                <w:kern w:val="0"/>
                <w:szCs w:val="21"/>
              </w:rPr>
              <w:t>★</w:t>
            </w:r>
            <w:r>
              <w:rPr>
                <w:rFonts w:hint="default" w:ascii="Arial" w:hAnsi="Arial" w:eastAsia="宋体" w:cs="Arial"/>
                <w:sz w:val="24"/>
                <w:szCs w:val="24"/>
              </w:rPr>
              <w:t>”项参数每有一项负偏离扣1分。满分2</w:t>
            </w:r>
            <w:r>
              <w:rPr>
                <w:rFonts w:hint="eastAsia" w:ascii="Arial" w:hAnsi="Arial" w:cs="Arial"/>
                <w:sz w:val="24"/>
                <w:szCs w:val="24"/>
                <w:lang w:val="en-US" w:eastAsia="zh-CN"/>
              </w:rPr>
              <w:t>5</w:t>
            </w:r>
            <w:r>
              <w:rPr>
                <w:rFonts w:hint="default" w:ascii="Arial" w:hAnsi="Arial" w:eastAsia="宋体" w:cs="Arial"/>
                <w:sz w:val="24"/>
                <w:szCs w:val="24"/>
              </w:rPr>
              <w:t>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70" w:type="dxa"/>
            <w:vMerge w:val="restart"/>
            <w:vAlign w:val="center"/>
          </w:tcPr>
          <w:p>
            <w:pPr>
              <w:pStyle w:val="4"/>
              <w:keepNext w:val="0"/>
              <w:keepLines w:val="0"/>
              <w:pageBreakBefore w:val="0"/>
              <w:kinsoku/>
              <w:wordWrap/>
              <w:overflowPunct/>
              <w:topLinePunct w:val="0"/>
              <w:bidi w:val="0"/>
              <w:snapToGrid w:val="0"/>
              <w:spacing w:after="0" w:line="360" w:lineRule="auto"/>
              <w:jc w:val="center"/>
              <w:textAlignment w:val="auto"/>
              <w:rPr>
                <w:rFonts w:hint="default" w:ascii="Arial" w:hAnsi="Arial" w:eastAsia="宋体" w:cs="Arial"/>
                <w:sz w:val="24"/>
                <w:szCs w:val="24"/>
              </w:rPr>
            </w:pPr>
            <w:r>
              <w:rPr>
                <w:rFonts w:hint="default" w:ascii="Arial" w:hAnsi="Arial" w:eastAsia="宋体" w:cs="Arial"/>
                <w:sz w:val="24"/>
                <w:szCs w:val="24"/>
              </w:rPr>
              <w:t>技术方案（1</w:t>
            </w:r>
            <w:r>
              <w:rPr>
                <w:rFonts w:hint="eastAsia" w:ascii="Arial" w:hAnsi="Arial" w:cs="Arial"/>
                <w:sz w:val="24"/>
                <w:szCs w:val="24"/>
                <w:lang w:val="en-US" w:eastAsia="zh-CN"/>
              </w:rPr>
              <w:t>8</w:t>
            </w:r>
            <w:r>
              <w:rPr>
                <w:rFonts w:hint="default" w:ascii="Arial" w:hAnsi="Arial" w:eastAsia="宋体" w:cs="Arial"/>
                <w:sz w:val="24"/>
                <w:szCs w:val="24"/>
              </w:rPr>
              <w:t>分）</w:t>
            </w:r>
          </w:p>
        </w:tc>
        <w:tc>
          <w:tcPr>
            <w:tcW w:w="852" w:type="dxa"/>
            <w:vAlign w:val="center"/>
          </w:tcPr>
          <w:p>
            <w:pPr>
              <w:pStyle w:val="4"/>
              <w:keepNext w:val="0"/>
              <w:keepLines w:val="0"/>
              <w:pageBreakBefore w:val="0"/>
              <w:kinsoku/>
              <w:wordWrap/>
              <w:overflowPunct/>
              <w:topLinePunct w:val="0"/>
              <w:bidi w:val="0"/>
              <w:snapToGrid w:val="0"/>
              <w:spacing w:after="0" w:line="360" w:lineRule="auto"/>
              <w:jc w:val="center"/>
              <w:textAlignment w:val="auto"/>
              <w:rPr>
                <w:rFonts w:hint="default" w:ascii="Arial" w:hAnsi="Arial" w:eastAsia="宋体" w:cs="Arial"/>
                <w:sz w:val="24"/>
                <w:szCs w:val="24"/>
              </w:rPr>
            </w:pPr>
            <w:r>
              <w:rPr>
                <w:rFonts w:hint="default" w:ascii="Arial" w:hAnsi="Arial" w:eastAsia="宋体" w:cs="Arial"/>
                <w:sz w:val="24"/>
                <w:szCs w:val="24"/>
              </w:rPr>
              <w:t>5</w:t>
            </w:r>
          </w:p>
        </w:tc>
        <w:tc>
          <w:tcPr>
            <w:tcW w:w="7087" w:type="dxa"/>
            <w:vAlign w:val="center"/>
          </w:tcPr>
          <w:p>
            <w:pPr>
              <w:pStyle w:val="4"/>
              <w:keepNext w:val="0"/>
              <w:keepLines w:val="0"/>
              <w:pageBreakBefore w:val="0"/>
              <w:kinsoku/>
              <w:wordWrap/>
              <w:overflowPunct/>
              <w:topLinePunct w:val="0"/>
              <w:bidi w:val="0"/>
              <w:snapToGrid w:val="0"/>
              <w:spacing w:after="0" w:line="360" w:lineRule="auto"/>
              <w:textAlignment w:val="auto"/>
              <w:rPr>
                <w:rFonts w:hint="default" w:ascii="Arial" w:hAnsi="Arial" w:eastAsia="宋体" w:cs="Arial"/>
                <w:sz w:val="24"/>
                <w:szCs w:val="24"/>
              </w:rPr>
            </w:pPr>
            <w:r>
              <w:rPr>
                <w:rFonts w:hint="default" w:ascii="Arial" w:hAnsi="Arial" w:eastAsia="宋体" w:cs="Arial"/>
                <w:sz w:val="24"/>
                <w:szCs w:val="24"/>
              </w:rPr>
              <w:t>技术方案：对总体设计、数据中心、业务通用能力设计、接口方案、数据安全方案等做详细阐述。</w:t>
            </w:r>
          </w:p>
          <w:p>
            <w:pPr>
              <w:pStyle w:val="4"/>
              <w:keepNext w:val="0"/>
              <w:keepLines w:val="0"/>
              <w:pageBreakBefore w:val="0"/>
              <w:kinsoku/>
              <w:wordWrap/>
              <w:overflowPunct/>
              <w:topLinePunct w:val="0"/>
              <w:bidi w:val="0"/>
              <w:snapToGrid w:val="0"/>
              <w:spacing w:after="0" w:line="360" w:lineRule="auto"/>
              <w:textAlignment w:val="auto"/>
              <w:rPr>
                <w:rFonts w:hint="default" w:ascii="Arial" w:hAnsi="Arial" w:eastAsia="宋体" w:cs="Arial"/>
                <w:sz w:val="24"/>
                <w:szCs w:val="24"/>
              </w:rPr>
            </w:pPr>
            <w:r>
              <w:rPr>
                <w:rFonts w:hint="default" w:ascii="Arial" w:hAnsi="Arial" w:eastAsia="宋体" w:cs="Arial"/>
                <w:sz w:val="24"/>
                <w:szCs w:val="24"/>
              </w:rPr>
              <w:t xml:space="preserve">技术架构、数据中心等设计合理、数据安全性高得5分； </w:t>
            </w:r>
          </w:p>
          <w:p>
            <w:pPr>
              <w:pStyle w:val="4"/>
              <w:keepNext w:val="0"/>
              <w:keepLines w:val="0"/>
              <w:pageBreakBefore w:val="0"/>
              <w:kinsoku/>
              <w:wordWrap/>
              <w:overflowPunct/>
              <w:topLinePunct w:val="0"/>
              <w:bidi w:val="0"/>
              <w:snapToGrid w:val="0"/>
              <w:spacing w:after="0" w:line="360" w:lineRule="auto"/>
              <w:textAlignment w:val="auto"/>
              <w:rPr>
                <w:rFonts w:hint="default" w:ascii="Arial" w:hAnsi="Arial" w:eastAsia="宋体" w:cs="Arial"/>
                <w:sz w:val="24"/>
                <w:szCs w:val="24"/>
              </w:rPr>
            </w:pPr>
            <w:r>
              <w:rPr>
                <w:rFonts w:hint="default" w:ascii="Arial" w:hAnsi="Arial" w:eastAsia="宋体" w:cs="Arial"/>
                <w:sz w:val="24"/>
                <w:szCs w:val="24"/>
              </w:rPr>
              <w:t>技术架构、数据中心等设计比较合理、数据安全性一般得3分；</w:t>
            </w:r>
          </w:p>
          <w:p>
            <w:pPr>
              <w:pStyle w:val="4"/>
              <w:keepNext w:val="0"/>
              <w:keepLines w:val="0"/>
              <w:pageBreakBefore w:val="0"/>
              <w:kinsoku/>
              <w:wordWrap/>
              <w:overflowPunct/>
              <w:topLinePunct w:val="0"/>
              <w:bidi w:val="0"/>
              <w:snapToGrid w:val="0"/>
              <w:spacing w:after="0" w:line="360" w:lineRule="auto"/>
              <w:textAlignment w:val="auto"/>
              <w:rPr>
                <w:rFonts w:hint="default" w:ascii="Arial" w:hAnsi="Arial" w:eastAsia="宋体" w:cs="Arial"/>
                <w:sz w:val="24"/>
                <w:szCs w:val="24"/>
              </w:rPr>
            </w:pPr>
            <w:r>
              <w:rPr>
                <w:rFonts w:hint="default" w:ascii="Arial" w:hAnsi="Arial" w:eastAsia="宋体" w:cs="Arial"/>
                <w:sz w:val="24"/>
                <w:szCs w:val="24"/>
              </w:rPr>
              <w:t>技术架构设计一般、针对性及数据安全性较差1分；</w:t>
            </w:r>
          </w:p>
          <w:p>
            <w:pPr>
              <w:pStyle w:val="4"/>
              <w:keepNext w:val="0"/>
              <w:keepLines w:val="0"/>
              <w:pageBreakBefore w:val="0"/>
              <w:kinsoku/>
              <w:wordWrap/>
              <w:overflowPunct/>
              <w:topLinePunct w:val="0"/>
              <w:bidi w:val="0"/>
              <w:snapToGrid w:val="0"/>
              <w:spacing w:after="0" w:line="360" w:lineRule="auto"/>
              <w:textAlignment w:val="auto"/>
              <w:rPr>
                <w:rFonts w:hint="default" w:ascii="Arial" w:hAnsi="Arial" w:eastAsia="宋体" w:cs="Arial"/>
                <w:sz w:val="24"/>
                <w:szCs w:val="24"/>
              </w:rPr>
            </w:pPr>
            <w:r>
              <w:rPr>
                <w:rFonts w:hint="default" w:ascii="Arial" w:hAnsi="Arial" w:eastAsia="宋体" w:cs="Arial"/>
                <w:sz w:val="24"/>
                <w:szCs w:val="24"/>
              </w:rPr>
              <w:t>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70" w:type="dxa"/>
            <w:vMerge w:val="continue"/>
            <w:vAlign w:val="center"/>
          </w:tcPr>
          <w:p>
            <w:pPr>
              <w:pStyle w:val="4"/>
              <w:keepNext w:val="0"/>
              <w:keepLines w:val="0"/>
              <w:pageBreakBefore w:val="0"/>
              <w:kinsoku/>
              <w:wordWrap/>
              <w:overflowPunct/>
              <w:topLinePunct w:val="0"/>
              <w:bidi w:val="0"/>
              <w:snapToGrid w:val="0"/>
              <w:spacing w:after="0" w:line="360" w:lineRule="auto"/>
              <w:jc w:val="center"/>
              <w:textAlignment w:val="auto"/>
              <w:rPr>
                <w:rFonts w:hint="default" w:ascii="Arial" w:hAnsi="Arial" w:eastAsia="宋体" w:cs="Arial"/>
                <w:sz w:val="24"/>
                <w:szCs w:val="24"/>
              </w:rPr>
            </w:pPr>
          </w:p>
        </w:tc>
        <w:tc>
          <w:tcPr>
            <w:tcW w:w="852" w:type="dxa"/>
            <w:vAlign w:val="center"/>
          </w:tcPr>
          <w:p>
            <w:pPr>
              <w:pStyle w:val="4"/>
              <w:keepNext w:val="0"/>
              <w:keepLines w:val="0"/>
              <w:pageBreakBefore w:val="0"/>
              <w:kinsoku/>
              <w:wordWrap/>
              <w:overflowPunct/>
              <w:topLinePunct w:val="0"/>
              <w:bidi w:val="0"/>
              <w:snapToGrid w:val="0"/>
              <w:spacing w:after="0" w:line="360" w:lineRule="auto"/>
              <w:jc w:val="center"/>
              <w:textAlignment w:val="auto"/>
              <w:rPr>
                <w:rFonts w:hint="eastAsia" w:ascii="Arial" w:hAnsi="Arial" w:eastAsia="宋体" w:cs="Arial"/>
                <w:sz w:val="24"/>
                <w:szCs w:val="24"/>
                <w:lang w:eastAsia="zh-CN"/>
              </w:rPr>
            </w:pPr>
            <w:r>
              <w:rPr>
                <w:rFonts w:hint="eastAsia" w:ascii="Arial" w:hAnsi="Arial" w:cs="Arial"/>
                <w:sz w:val="24"/>
                <w:szCs w:val="24"/>
                <w:lang w:val="en-US" w:eastAsia="zh-CN"/>
              </w:rPr>
              <w:t>5</w:t>
            </w:r>
          </w:p>
        </w:tc>
        <w:tc>
          <w:tcPr>
            <w:tcW w:w="7087" w:type="dxa"/>
            <w:vAlign w:val="center"/>
          </w:tcPr>
          <w:p>
            <w:pPr>
              <w:pStyle w:val="4"/>
              <w:keepNext w:val="0"/>
              <w:keepLines w:val="0"/>
              <w:pageBreakBefore w:val="0"/>
              <w:kinsoku/>
              <w:wordWrap/>
              <w:overflowPunct/>
              <w:topLinePunct w:val="0"/>
              <w:bidi w:val="0"/>
              <w:snapToGrid w:val="0"/>
              <w:spacing w:after="0" w:line="360" w:lineRule="auto"/>
              <w:textAlignment w:val="auto"/>
              <w:rPr>
                <w:rFonts w:hint="default" w:ascii="Arial" w:hAnsi="Arial" w:eastAsia="宋体" w:cs="Arial"/>
                <w:sz w:val="24"/>
                <w:szCs w:val="24"/>
              </w:rPr>
            </w:pPr>
            <w:r>
              <w:rPr>
                <w:rFonts w:hint="default" w:ascii="Arial" w:hAnsi="Arial" w:eastAsia="宋体" w:cs="Arial"/>
                <w:sz w:val="24"/>
                <w:szCs w:val="24"/>
              </w:rPr>
              <w:t>建设方案：对项目整体需求分析、系统功能设计情况做详细阐述。</w:t>
            </w:r>
          </w:p>
          <w:p>
            <w:pPr>
              <w:pStyle w:val="4"/>
              <w:keepNext w:val="0"/>
              <w:keepLines w:val="0"/>
              <w:pageBreakBefore w:val="0"/>
              <w:kinsoku/>
              <w:wordWrap/>
              <w:overflowPunct/>
              <w:topLinePunct w:val="0"/>
              <w:bidi w:val="0"/>
              <w:snapToGrid w:val="0"/>
              <w:spacing w:after="0" w:line="360" w:lineRule="auto"/>
              <w:textAlignment w:val="auto"/>
              <w:rPr>
                <w:rFonts w:hint="default" w:ascii="Arial" w:hAnsi="Arial" w:eastAsia="宋体" w:cs="Arial"/>
                <w:sz w:val="24"/>
                <w:szCs w:val="24"/>
              </w:rPr>
            </w:pPr>
            <w:r>
              <w:rPr>
                <w:rFonts w:hint="default" w:ascii="Arial" w:hAnsi="Arial" w:eastAsia="宋体" w:cs="Arial"/>
                <w:sz w:val="24"/>
                <w:szCs w:val="24"/>
              </w:rPr>
              <w:t>对项目需求理解充分，分析准确，各系统模块设计科学合理，满足项目要求得</w:t>
            </w:r>
            <w:r>
              <w:rPr>
                <w:rFonts w:hint="eastAsia" w:ascii="Arial" w:hAnsi="Arial" w:cs="Arial"/>
                <w:sz w:val="24"/>
                <w:szCs w:val="24"/>
                <w:lang w:val="en-US" w:eastAsia="zh-CN"/>
              </w:rPr>
              <w:t>5</w:t>
            </w:r>
            <w:r>
              <w:rPr>
                <w:rFonts w:hint="default" w:ascii="Arial" w:hAnsi="Arial" w:eastAsia="宋体" w:cs="Arial"/>
                <w:sz w:val="24"/>
                <w:szCs w:val="24"/>
              </w:rPr>
              <w:t>分；</w:t>
            </w:r>
          </w:p>
          <w:p>
            <w:pPr>
              <w:pStyle w:val="4"/>
              <w:keepNext w:val="0"/>
              <w:keepLines w:val="0"/>
              <w:pageBreakBefore w:val="0"/>
              <w:kinsoku/>
              <w:wordWrap/>
              <w:overflowPunct/>
              <w:topLinePunct w:val="0"/>
              <w:bidi w:val="0"/>
              <w:snapToGrid w:val="0"/>
              <w:spacing w:after="0" w:line="360" w:lineRule="auto"/>
              <w:textAlignment w:val="auto"/>
              <w:rPr>
                <w:rFonts w:hint="default" w:ascii="Arial" w:hAnsi="Arial" w:eastAsia="宋体" w:cs="Arial"/>
                <w:sz w:val="24"/>
                <w:szCs w:val="24"/>
              </w:rPr>
            </w:pPr>
            <w:r>
              <w:rPr>
                <w:rFonts w:hint="default" w:ascii="Arial" w:hAnsi="Arial" w:eastAsia="宋体" w:cs="Arial"/>
                <w:sz w:val="24"/>
                <w:szCs w:val="24"/>
              </w:rPr>
              <w:t>对项目需求理解比较充分，各系统模块设计比较科学合理，基本满足项目要求得</w:t>
            </w:r>
            <w:r>
              <w:rPr>
                <w:rFonts w:hint="eastAsia" w:ascii="Arial" w:hAnsi="Arial" w:cs="Arial"/>
                <w:sz w:val="24"/>
                <w:szCs w:val="24"/>
                <w:lang w:val="en-US" w:eastAsia="zh-CN"/>
              </w:rPr>
              <w:t>3</w:t>
            </w:r>
            <w:r>
              <w:rPr>
                <w:rFonts w:hint="default" w:ascii="Arial" w:hAnsi="Arial" w:eastAsia="宋体" w:cs="Arial"/>
                <w:sz w:val="24"/>
                <w:szCs w:val="24"/>
              </w:rPr>
              <w:t>分；</w:t>
            </w:r>
          </w:p>
          <w:p>
            <w:pPr>
              <w:pStyle w:val="4"/>
              <w:keepNext w:val="0"/>
              <w:keepLines w:val="0"/>
              <w:pageBreakBefore w:val="0"/>
              <w:kinsoku/>
              <w:wordWrap/>
              <w:overflowPunct/>
              <w:topLinePunct w:val="0"/>
              <w:bidi w:val="0"/>
              <w:snapToGrid w:val="0"/>
              <w:spacing w:after="0" w:line="360" w:lineRule="auto"/>
              <w:textAlignment w:val="auto"/>
              <w:rPr>
                <w:rFonts w:hint="default" w:ascii="Arial" w:hAnsi="Arial" w:eastAsia="宋体" w:cs="Arial"/>
                <w:sz w:val="24"/>
                <w:szCs w:val="24"/>
              </w:rPr>
            </w:pPr>
            <w:r>
              <w:rPr>
                <w:rFonts w:hint="default" w:ascii="Arial" w:hAnsi="Arial" w:eastAsia="宋体" w:cs="Arial"/>
                <w:sz w:val="24"/>
                <w:szCs w:val="24"/>
              </w:rPr>
              <w:t>对项目需求理解一般，各系统模块设计基本满足项目要求得1分；</w:t>
            </w:r>
          </w:p>
          <w:p>
            <w:pPr>
              <w:pStyle w:val="4"/>
              <w:keepNext w:val="0"/>
              <w:keepLines w:val="0"/>
              <w:pageBreakBefore w:val="0"/>
              <w:kinsoku/>
              <w:wordWrap/>
              <w:overflowPunct/>
              <w:topLinePunct w:val="0"/>
              <w:bidi w:val="0"/>
              <w:snapToGrid w:val="0"/>
              <w:spacing w:after="0" w:line="360" w:lineRule="auto"/>
              <w:textAlignment w:val="auto"/>
              <w:rPr>
                <w:rFonts w:hint="default" w:ascii="Arial" w:hAnsi="Arial" w:eastAsia="宋体" w:cs="Arial"/>
                <w:sz w:val="24"/>
                <w:szCs w:val="24"/>
              </w:rPr>
            </w:pPr>
            <w:r>
              <w:rPr>
                <w:rFonts w:hint="default" w:ascii="Arial" w:hAnsi="Arial" w:eastAsia="宋体" w:cs="Arial"/>
                <w:sz w:val="24"/>
                <w:szCs w:val="24"/>
              </w:rPr>
              <w:t>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70" w:type="dxa"/>
            <w:vMerge w:val="continue"/>
            <w:vAlign w:val="center"/>
          </w:tcPr>
          <w:p>
            <w:pPr>
              <w:pStyle w:val="4"/>
              <w:keepNext w:val="0"/>
              <w:keepLines w:val="0"/>
              <w:pageBreakBefore w:val="0"/>
              <w:kinsoku/>
              <w:wordWrap/>
              <w:overflowPunct/>
              <w:topLinePunct w:val="0"/>
              <w:bidi w:val="0"/>
              <w:snapToGrid w:val="0"/>
              <w:spacing w:after="0" w:line="360" w:lineRule="auto"/>
              <w:jc w:val="center"/>
              <w:textAlignment w:val="auto"/>
              <w:rPr>
                <w:rFonts w:hint="default" w:ascii="Arial" w:hAnsi="Arial" w:eastAsia="宋体" w:cs="Arial"/>
                <w:sz w:val="24"/>
                <w:szCs w:val="24"/>
              </w:rPr>
            </w:pPr>
          </w:p>
        </w:tc>
        <w:tc>
          <w:tcPr>
            <w:tcW w:w="852" w:type="dxa"/>
            <w:vAlign w:val="center"/>
          </w:tcPr>
          <w:p>
            <w:pPr>
              <w:pStyle w:val="4"/>
              <w:keepNext w:val="0"/>
              <w:keepLines w:val="0"/>
              <w:pageBreakBefore w:val="0"/>
              <w:kinsoku/>
              <w:wordWrap/>
              <w:overflowPunct/>
              <w:topLinePunct w:val="0"/>
              <w:bidi w:val="0"/>
              <w:snapToGrid w:val="0"/>
              <w:spacing w:after="0" w:line="360" w:lineRule="auto"/>
              <w:jc w:val="center"/>
              <w:textAlignment w:val="auto"/>
              <w:rPr>
                <w:rFonts w:hint="default" w:ascii="Arial" w:hAnsi="Arial" w:eastAsia="宋体" w:cs="Arial"/>
                <w:sz w:val="24"/>
                <w:szCs w:val="24"/>
              </w:rPr>
            </w:pPr>
            <w:r>
              <w:rPr>
                <w:rFonts w:hint="default" w:ascii="Arial" w:hAnsi="Arial" w:eastAsia="宋体" w:cs="Arial"/>
                <w:sz w:val="24"/>
                <w:szCs w:val="24"/>
              </w:rPr>
              <w:t>4</w:t>
            </w:r>
          </w:p>
        </w:tc>
        <w:tc>
          <w:tcPr>
            <w:tcW w:w="7087" w:type="dxa"/>
            <w:vAlign w:val="center"/>
          </w:tcPr>
          <w:p>
            <w:pPr>
              <w:pStyle w:val="4"/>
              <w:keepNext w:val="0"/>
              <w:keepLines w:val="0"/>
              <w:pageBreakBefore w:val="0"/>
              <w:kinsoku/>
              <w:wordWrap/>
              <w:overflowPunct/>
              <w:topLinePunct w:val="0"/>
              <w:bidi w:val="0"/>
              <w:snapToGrid w:val="0"/>
              <w:spacing w:after="0" w:line="360" w:lineRule="auto"/>
              <w:textAlignment w:val="auto"/>
              <w:rPr>
                <w:rFonts w:hint="default" w:ascii="Arial" w:hAnsi="Arial" w:eastAsia="宋体" w:cs="Arial"/>
                <w:sz w:val="24"/>
                <w:szCs w:val="24"/>
              </w:rPr>
            </w:pPr>
            <w:r>
              <w:rPr>
                <w:rFonts w:hint="default" w:ascii="Arial" w:hAnsi="Arial" w:eastAsia="宋体" w:cs="Arial"/>
                <w:sz w:val="24"/>
                <w:szCs w:val="24"/>
              </w:rPr>
              <w:t>投标人的技术方案中是否有独立的数据中心的数据模型，要求不能直接引用当前业务系统模型或消息模型。要通过ETL技术对原始业务数据进行抽取、转换、清洗并转存到CDR数据模型中，形成集中存储的数据集。</w:t>
            </w:r>
          </w:p>
          <w:p>
            <w:pPr>
              <w:keepNext w:val="0"/>
              <w:keepLines w:val="0"/>
              <w:pageBreakBefore w:val="0"/>
              <w:kinsoku/>
              <w:wordWrap/>
              <w:overflowPunct/>
              <w:topLinePunct w:val="0"/>
              <w:bidi w:val="0"/>
              <w:snapToGrid w:val="0"/>
              <w:spacing w:line="360" w:lineRule="auto"/>
              <w:textAlignment w:val="auto"/>
              <w:rPr>
                <w:rFonts w:hint="default" w:ascii="Arial" w:hAnsi="Arial" w:eastAsia="宋体" w:cs="Arial"/>
                <w:sz w:val="24"/>
                <w:szCs w:val="24"/>
              </w:rPr>
            </w:pPr>
            <w:r>
              <w:rPr>
                <w:rFonts w:hint="default" w:ascii="Arial" w:hAnsi="Arial" w:eastAsia="宋体" w:cs="Arial"/>
                <w:color w:val="000000"/>
                <w:spacing w:val="-6"/>
                <w:sz w:val="24"/>
                <w:szCs w:val="24"/>
              </w:rPr>
              <w:t>（1）</w:t>
            </w:r>
            <w:r>
              <w:rPr>
                <w:rFonts w:hint="default" w:ascii="Arial" w:hAnsi="Arial" w:eastAsia="宋体" w:cs="Arial"/>
                <w:sz w:val="24"/>
                <w:szCs w:val="24"/>
              </w:rPr>
              <w:t>提供数据中心界面截图合理、详细的得4分；</w:t>
            </w:r>
          </w:p>
          <w:p>
            <w:pPr>
              <w:keepNext w:val="0"/>
              <w:keepLines w:val="0"/>
              <w:pageBreakBefore w:val="0"/>
              <w:kinsoku/>
              <w:wordWrap/>
              <w:overflowPunct/>
              <w:topLinePunct w:val="0"/>
              <w:bidi w:val="0"/>
              <w:snapToGrid w:val="0"/>
              <w:spacing w:line="360" w:lineRule="auto"/>
              <w:textAlignment w:val="auto"/>
              <w:rPr>
                <w:rFonts w:hint="default" w:ascii="Arial" w:hAnsi="Arial" w:eastAsia="宋体" w:cs="Arial"/>
                <w:sz w:val="24"/>
                <w:szCs w:val="24"/>
              </w:rPr>
            </w:pPr>
            <w:r>
              <w:rPr>
                <w:rFonts w:hint="default" w:ascii="Arial" w:hAnsi="Arial" w:eastAsia="宋体" w:cs="Arial"/>
                <w:color w:val="000000"/>
                <w:spacing w:val="-6"/>
                <w:sz w:val="24"/>
                <w:szCs w:val="24"/>
              </w:rPr>
              <w:t>（</w:t>
            </w:r>
            <w:r>
              <w:rPr>
                <w:rFonts w:hint="eastAsia" w:ascii="Arial" w:hAnsi="Arial" w:cs="Arial"/>
                <w:color w:val="000000"/>
                <w:spacing w:val="-6"/>
                <w:sz w:val="24"/>
                <w:szCs w:val="24"/>
                <w:lang w:val="en-US" w:eastAsia="zh-CN"/>
              </w:rPr>
              <w:t>2</w:t>
            </w:r>
            <w:r>
              <w:rPr>
                <w:rFonts w:hint="default" w:ascii="Arial" w:hAnsi="Arial" w:eastAsia="宋体" w:cs="Arial"/>
                <w:color w:val="000000"/>
                <w:spacing w:val="-6"/>
                <w:sz w:val="24"/>
                <w:szCs w:val="24"/>
              </w:rPr>
              <w:t>）</w:t>
            </w:r>
            <w:r>
              <w:rPr>
                <w:rFonts w:hint="default" w:ascii="Arial" w:hAnsi="Arial" w:eastAsia="宋体" w:cs="Arial"/>
                <w:sz w:val="24"/>
                <w:szCs w:val="24"/>
              </w:rPr>
              <w:t>提供数据中心界面截图基本完整、合理得2分；</w:t>
            </w:r>
          </w:p>
          <w:p>
            <w:pPr>
              <w:keepNext w:val="0"/>
              <w:keepLines w:val="0"/>
              <w:pageBreakBefore w:val="0"/>
              <w:kinsoku/>
              <w:wordWrap/>
              <w:overflowPunct/>
              <w:topLinePunct w:val="0"/>
              <w:bidi w:val="0"/>
              <w:snapToGrid w:val="0"/>
              <w:spacing w:line="360" w:lineRule="auto"/>
              <w:textAlignment w:val="auto"/>
              <w:rPr>
                <w:rFonts w:hint="default" w:ascii="Arial" w:hAnsi="Arial" w:eastAsia="宋体" w:cs="Arial"/>
                <w:sz w:val="24"/>
                <w:szCs w:val="24"/>
              </w:rPr>
            </w:pPr>
            <w:r>
              <w:rPr>
                <w:rFonts w:hint="default" w:ascii="Arial" w:hAnsi="Arial" w:eastAsia="宋体" w:cs="Arial"/>
                <w:color w:val="000000"/>
                <w:spacing w:val="-6"/>
                <w:sz w:val="24"/>
                <w:szCs w:val="24"/>
              </w:rPr>
              <w:t>（</w:t>
            </w:r>
            <w:r>
              <w:rPr>
                <w:rFonts w:hint="eastAsia" w:ascii="Arial" w:hAnsi="Arial" w:cs="Arial"/>
                <w:color w:val="000000"/>
                <w:spacing w:val="-6"/>
                <w:sz w:val="24"/>
                <w:szCs w:val="24"/>
                <w:lang w:val="en-US" w:eastAsia="zh-CN"/>
              </w:rPr>
              <w:t>3</w:t>
            </w:r>
            <w:r>
              <w:rPr>
                <w:rFonts w:hint="default" w:ascii="Arial" w:hAnsi="Arial" w:eastAsia="宋体" w:cs="Arial"/>
                <w:color w:val="000000"/>
                <w:spacing w:val="-6"/>
                <w:sz w:val="24"/>
                <w:szCs w:val="24"/>
              </w:rPr>
              <w:t>）</w:t>
            </w:r>
            <w:r>
              <w:rPr>
                <w:rFonts w:hint="default" w:ascii="Arial" w:hAnsi="Arial" w:eastAsia="宋体" w:cs="Arial"/>
                <w:sz w:val="24"/>
                <w:szCs w:val="24"/>
              </w:rPr>
              <w:t>提供数据中心界面截图完整性、合理性一般得1分；</w:t>
            </w:r>
          </w:p>
          <w:p>
            <w:pPr>
              <w:pStyle w:val="4"/>
              <w:keepNext w:val="0"/>
              <w:keepLines w:val="0"/>
              <w:pageBreakBefore w:val="0"/>
              <w:kinsoku/>
              <w:wordWrap/>
              <w:overflowPunct/>
              <w:topLinePunct w:val="0"/>
              <w:bidi w:val="0"/>
              <w:snapToGrid w:val="0"/>
              <w:spacing w:after="0" w:line="360" w:lineRule="auto"/>
              <w:textAlignment w:val="auto"/>
              <w:rPr>
                <w:rFonts w:hint="default" w:ascii="Arial" w:hAnsi="Arial" w:eastAsia="宋体" w:cs="Arial"/>
                <w:sz w:val="24"/>
                <w:szCs w:val="24"/>
              </w:rPr>
            </w:pPr>
            <w:r>
              <w:rPr>
                <w:rFonts w:hint="default" w:ascii="Arial" w:hAnsi="Arial" w:eastAsia="宋体" w:cs="Arial"/>
                <w:color w:val="000000"/>
                <w:spacing w:val="-6"/>
                <w:sz w:val="24"/>
                <w:szCs w:val="24"/>
              </w:rPr>
              <w:t>（</w:t>
            </w:r>
            <w:r>
              <w:rPr>
                <w:rFonts w:hint="eastAsia" w:ascii="Arial" w:hAnsi="Arial" w:eastAsia="宋体" w:cs="Arial"/>
                <w:color w:val="000000"/>
                <w:spacing w:val="-6"/>
                <w:sz w:val="24"/>
                <w:szCs w:val="24"/>
                <w:lang w:val="en-US" w:eastAsia="zh-CN"/>
              </w:rPr>
              <w:t>4</w:t>
            </w:r>
            <w:r>
              <w:rPr>
                <w:rFonts w:hint="default" w:ascii="Arial" w:hAnsi="Arial" w:eastAsia="宋体" w:cs="Arial"/>
                <w:color w:val="000000"/>
                <w:spacing w:val="-6"/>
                <w:sz w:val="24"/>
                <w:szCs w:val="24"/>
              </w:rPr>
              <w:t>）</w:t>
            </w:r>
            <w:r>
              <w:rPr>
                <w:rFonts w:hint="default" w:ascii="Arial" w:hAnsi="Arial" w:eastAsia="宋体" w:cs="Arial"/>
                <w:sz w:val="24"/>
                <w:szCs w:val="24"/>
              </w:rPr>
              <w:t>未提供或不合理得0分。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70" w:type="dxa"/>
            <w:vMerge w:val="continue"/>
            <w:vAlign w:val="center"/>
          </w:tcPr>
          <w:p>
            <w:pPr>
              <w:pStyle w:val="4"/>
              <w:keepNext w:val="0"/>
              <w:keepLines w:val="0"/>
              <w:pageBreakBefore w:val="0"/>
              <w:kinsoku/>
              <w:wordWrap/>
              <w:overflowPunct/>
              <w:topLinePunct w:val="0"/>
              <w:bidi w:val="0"/>
              <w:snapToGrid w:val="0"/>
              <w:spacing w:after="0" w:line="360" w:lineRule="auto"/>
              <w:jc w:val="center"/>
              <w:textAlignment w:val="auto"/>
              <w:rPr>
                <w:rFonts w:hint="default" w:ascii="Arial" w:hAnsi="Arial" w:eastAsia="宋体" w:cs="Arial"/>
                <w:sz w:val="24"/>
                <w:szCs w:val="24"/>
              </w:rPr>
            </w:pPr>
          </w:p>
        </w:tc>
        <w:tc>
          <w:tcPr>
            <w:tcW w:w="852" w:type="dxa"/>
            <w:vAlign w:val="center"/>
          </w:tcPr>
          <w:p>
            <w:pPr>
              <w:pStyle w:val="4"/>
              <w:keepNext w:val="0"/>
              <w:keepLines w:val="0"/>
              <w:pageBreakBefore w:val="0"/>
              <w:kinsoku/>
              <w:wordWrap/>
              <w:overflowPunct/>
              <w:topLinePunct w:val="0"/>
              <w:bidi w:val="0"/>
              <w:snapToGrid w:val="0"/>
              <w:spacing w:after="0" w:line="360" w:lineRule="auto"/>
              <w:jc w:val="center"/>
              <w:textAlignment w:val="auto"/>
              <w:rPr>
                <w:rFonts w:hint="default" w:ascii="Arial" w:hAnsi="Arial" w:eastAsia="宋体" w:cs="Arial"/>
                <w:sz w:val="24"/>
                <w:szCs w:val="24"/>
              </w:rPr>
            </w:pPr>
            <w:r>
              <w:rPr>
                <w:rFonts w:hint="default" w:ascii="Arial" w:hAnsi="Arial" w:eastAsia="宋体" w:cs="Arial"/>
                <w:sz w:val="24"/>
                <w:szCs w:val="24"/>
              </w:rPr>
              <w:t>4</w:t>
            </w:r>
          </w:p>
        </w:tc>
        <w:tc>
          <w:tcPr>
            <w:tcW w:w="7087" w:type="dxa"/>
            <w:vAlign w:val="center"/>
          </w:tcPr>
          <w:p>
            <w:pPr>
              <w:pStyle w:val="4"/>
              <w:keepNext w:val="0"/>
              <w:keepLines w:val="0"/>
              <w:pageBreakBefore w:val="0"/>
              <w:kinsoku/>
              <w:wordWrap/>
              <w:overflowPunct/>
              <w:topLinePunct w:val="0"/>
              <w:bidi w:val="0"/>
              <w:snapToGrid w:val="0"/>
              <w:spacing w:after="0" w:line="360" w:lineRule="auto"/>
              <w:textAlignment w:val="auto"/>
              <w:rPr>
                <w:rFonts w:hint="default" w:ascii="Arial" w:hAnsi="Arial" w:eastAsia="宋体" w:cs="Arial"/>
                <w:sz w:val="24"/>
                <w:szCs w:val="24"/>
              </w:rPr>
            </w:pPr>
            <w:r>
              <w:rPr>
                <w:rFonts w:hint="default" w:ascii="Arial" w:hAnsi="Arial" w:eastAsia="宋体" w:cs="Arial"/>
                <w:sz w:val="24"/>
                <w:szCs w:val="24"/>
              </w:rPr>
              <w:t>投标人是否有提供配套的数据仓库技术工具（ETL工具），提供所需接口，可确保各种临床和管理应用效果的配置扩展实现。投标人所采用的应用工具是否为本公司自主研发，并具有相应的资质证书或专利权。</w:t>
            </w:r>
          </w:p>
          <w:p>
            <w:pPr>
              <w:pStyle w:val="4"/>
              <w:keepNext w:val="0"/>
              <w:keepLines w:val="0"/>
              <w:pageBreakBefore w:val="0"/>
              <w:kinsoku/>
              <w:wordWrap/>
              <w:overflowPunct/>
              <w:topLinePunct w:val="0"/>
              <w:bidi w:val="0"/>
              <w:snapToGrid w:val="0"/>
              <w:spacing w:after="0" w:line="360" w:lineRule="auto"/>
              <w:textAlignment w:val="auto"/>
              <w:rPr>
                <w:rFonts w:hint="default" w:ascii="Arial" w:hAnsi="Arial" w:eastAsia="宋体" w:cs="Arial"/>
                <w:sz w:val="24"/>
                <w:szCs w:val="24"/>
              </w:rPr>
            </w:pPr>
            <w:r>
              <w:rPr>
                <w:rFonts w:hint="default" w:ascii="Arial" w:hAnsi="Arial" w:eastAsia="宋体" w:cs="Arial"/>
                <w:sz w:val="24"/>
                <w:szCs w:val="24"/>
              </w:rPr>
              <w:t xml:space="preserve">提供医疗数据ETL系统和ETL管理工具软件的资质证书或软著，每提供1个得2分，共4分； </w:t>
            </w:r>
          </w:p>
          <w:p>
            <w:pPr>
              <w:keepNext w:val="0"/>
              <w:keepLines w:val="0"/>
              <w:pageBreakBefore w:val="0"/>
              <w:kinsoku/>
              <w:wordWrap/>
              <w:overflowPunct/>
              <w:topLinePunct w:val="0"/>
              <w:bidi w:val="0"/>
              <w:snapToGrid w:val="0"/>
              <w:spacing w:line="360" w:lineRule="auto"/>
              <w:textAlignment w:val="auto"/>
              <w:rPr>
                <w:rFonts w:hint="default" w:ascii="Arial" w:hAnsi="Arial" w:eastAsia="宋体" w:cs="Arial"/>
                <w:sz w:val="24"/>
                <w:szCs w:val="24"/>
              </w:rPr>
            </w:pPr>
            <w:r>
              <w:rPr>
                <w:rFonts w:hint="default" w:ascii="Arial" w:hAnsi="Arial" w:eastAsia="宋体" w:cs="Arial"/>
                <w:sz w:val="24"/>
                <w:szCs w:val="24"/>
              </w:rPr>
              <w:t>未提供得0分；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70" w:type="dxa"/>
            <w:vAlign w:val="center"/>
          </w:tcPr>
          <w:p>
            <w:pPr>
              <w:pStyle w:val="4"/>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default" w:ascii="Arial" w:hAnsi="Arial" w:eastAsia="宋体" w:cs="Arial"/>
                <w:sz w:val="24"/>
                <w:szCs w:val="24"/>
              </w:rPr>
            </w:pPr>
            <w:r>
              <w:rPr>
                <w:rFonts w:hint="default" w:ascii="Arial" w:hAnsi="Arial" w:eastAsia="宋体" w:cs="Arial"/>
                <w:sz w:val="24"/>
                <w:szCs w:val="24"/>
              </w:rPr>
              <w:t>实施方案（</w:t>
            </w:r>
            <w:r>
              <w:rPr>
                <w:rFonts w:hint="eastAsia" w:ascii="Arial" w:hAnsi="Arial" w:cs="Arial"/>
                <w:sz w:val="24"/>
                <w:szCs w:val="24"/>
                <w:lang w:val="en-US" w:eastAsia="zh-CN"/>
              </w:rPr>
              <w:t>6</w:t>
            </w:r>
            <w:r>
              <w:rPr>
                <w:rFonts w:hint="default" w:ascii="Arial" w:hAnsi="Arial" w:eastAsia="宋体" w:cs="Arial"/>
                <w:sz w:val="24"/>
                <w:szCs w:val="24"/>
              </w:rPr>
              <w:t>分）</w:t>
            </w:r>
          </w:p>
        </w:tc>
        <w:tc>
          <w:tcPr>
            <w:tcW w:w="852" w:type="dxa"/>
            <w:vAlign w:val="center"/>
          </w:tcPr>
          <w:p>
            <w:pPr>
              <w:pStyle w:val="4"/>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Arial" w:hAnsi="Arial" w:eastAsia="宋体" w:cs="Arial"/>
                <w:sz w:val="24"/>
                <w:szCs w:val="24"/>
                <w:lang w:eastAsia="zh-CN"/>
              </w:rPr>
            </w:pPr>
            <w:r>
              <w:rPr>
                <w:rFonts w:hint="eastAsia" w:ascii="Arial" w:hAnsi="Arial" w:cs="Arial"/>
                <w:sz w:val="24"/>
                <w:szCs w:val="24"/>
                <w:lang w:val="en-US" w:eastAsia="zh-CN"/>
              </w:rPr>
              <w:t>6</w:t>
            </w:r>
          </w:p>
        </w:tc>
        <w:tc>
          <w:tcPr>
            <w:tcW w:w="7087" w:type="dxa"/>
            <w:vAlign w:val="center"/>
          </w:tcPr>
          <w:p>
            <w:pPr>
              <w:pStyle w:val="5"/>
              <w:keepNext w:val="0"/>
              <w:keepLines w:val="0"/>
              <w:pageBreakBefore w:val="0"/>
              <w:widowControl/>
              <w:kinsoku/>
              <w:wordWrap/>
              <w:overflowPunct/>
              <w:topLinePunct w:val="0"/>
              <w:autoSpaceDE/>
              <w:autoSpaceDN/>
              <w:bidi w:val="0"/>
              <w:adjustRightInd/>
              <w:snapToGrid w:val="0"/>
              <w:spacing w:after="0" w:afterLines="0" w:line="360" w:lineRule="auto"/>
              <w:ind w:left="0" w:leftChars="0" w:firstLine="0" w:firstLineChars="0"/>
              <w:textAlignment w:val="auto"/>
              <w:rPr>
                <w:rFonts w:hint="default" w:ascii="Arial" w:hAnsi="Arial" w:eastAsia="宋体" w:cs="Arial"/>
                <w:color w:val="000000"/>
                <w:spacing w:val="-6"/>
                <w:sz w:val="24"/>
                <w:szCs w:val="24"/>
              </w:rPr>
            </w:pPr>
            <w:r>
              <w:rPr>
                <w:rFonts w:hint="default" w:ascii="Arial" w:hAnsi="Arial" w:eastAsia="宋体" w:cs="Arial"/>
                <w:color w:val="000000"/>
                <w:spacing w:val="-6"/>
                <w:sz w:val="24"/>
                <w:szCs w:val="24"/>
              </w:rPr>
              <w:t>根据招标文件中的功能需求，是否有提供完整的实施方案，涵盖系统需求分析、测试、试运行、验收、进度安排等，其项目管理制度及管理方案是否具有科学性、合理性和可执行性。</w:t>
            </w:r>
          </w:p>
          <w:p>
            <w:pPr>
              <w:pStyle w:val="5"/>
              <w:keepNext w:val="0"/>
              <w:keepLines w:val="0"/>
              <w:pageBreakBefore w:val="0"/>
              <w:widowControl/>
              <w:kinsoku/>
              <w:wordWrap/>
              <w:overflowPunct/>
              <w:topLinePunct w:val="0"/>
              <w:autoSpaceDE/>
              <w:autoSpaceDN/>
              <w:bidi w:val="0"/>
              <w:adjustRightInd/>
              <w:snapToGrid w:val="0"/>
              <w:spacing w:after="0" w:afterLines="0" w:line="360" w:lineRule="auto"/>
              <w:ind w:left="0" w:leftChars="0" w:firstLine="0" w:firstLineChars="0"/>
              <w:textAlignment w:val="auto"/>
              <w:rPr>
                <w:rFonts w:hint="default" w:ascii="Arial" w:hAnsi="Arial" w:eastAsia="宋体" w:cs="Arial"/>
                <w:color w:val="000000"/>
                <w:spacing w:val="-6"/>
                <w:sz w:val="24"/>
                <w:szCs w:val="24"/>
              </w:rPr>
            </w:pPr>
            <w:r>
              <w:rPr>
                <w:rFonts w:hint="default" w:ascii="Arial" w:hAnsi="Arial" w:eastAsia="宋体" w:cs="Arial"/>
                <w:color w:val="000000"/>
                <w:spacing w:val="-6"/>
                <w:sz w:val="24"/>
                <w:szCs w:val="24"/>
              </w:rPr>
              <w:t>（1）实施方案需求分析步骤清晰，测试、试运行、验收、进度安排科学、合理，得</w:t>
            </w:r>
            <w:r>
              <w:rPr>
                <w:rFonts w:hint="eastAsia" w:ascii="Arial" w:hAnsi="Arial" w:cs="Arial"/>
                <w:color w:val="000000"/>
                <w:spacing w:val="-6"/>
                <w:sz w:val="24"/>
                <w:szCs w:val="24"/>
                <w:lang w:val="en-US" w:eastAsia="zh-CN"/>
              </w:rPr>
              <w:t>6</w:t>
            </w:r>
            <w:r>
              <w:rPr>
                <w:rFonts w:hint="default" w:ascii="Arial" w:hAnsi="Arial" w:eastAsia="宋体" w:cs="Arial"/>
                <w:color w:val="000000"/>
                <w:spacing w:val="-6"/>
                <w:sz w:val="24"/>
                <w:szCs w:val="24"/>
              </w:rPr>
              <w:t>分；</w:t>
            </w:r>
          </w:p>
          <w:p>
            <w:pPr>
              <w:pStyle w:val="5"/>
              <w:keepNext w:val="0"/>
              <w:keepLines w:val="0"/>
              <w:pageBreakBefore w:val="0"/>
              <w:widowControl/>
              <w:kinsoku/>
              <w:wordWrap/>
              <w:overflowPunct/>
              <w:topLinePunct w:val="0"/>
              <w:autoSpaceDE/>
              <w:autoSpaceDN/>
              <w:bidi w:val="0"/>
              <w:adjustRightInd/>
              <w:snapToGrid w:val="0"/>
              <w:spacing w:after="0" w:afterLines="0" w:line="360" w:lineRule="auto"/>
              <w:ind w:left="0" w:leftChars="0" w:firstLine="0" w:firstLineChars="0"/>
              <w:textAlignment w:val="auto"/>
              <w:rPr>
                <w:rFonts w:hint="default" w:ascii="Arial" w:hAnsi="Arial" w:eastAsia="宋体" w:cs="Arial"/>
                <w:color w:val="000000"/>
                <w:spacing w:val="-6"/>
                <w:sz w:val="24"/>
                <w:szCs w:val="24"/>
              </w:rPr>
            </w:pPr>
            <w:r>
              <w:rPr>
                <w:rFonts w:hint="default" w:ascii="Arial" w:hAnsi="Arial" w:eastAsia="宋体" w:cs="Arial"/>
                <w:color w:val="000000"/>
                <w:spacing w:val="-6"/>
                <w:sz w:val="24"/>
                <w:szCs w:val="24"/>
              </w:rPr>
              <w:t>（2）实施方案需求分析步骤较清晰，测试、试运行、验收、进度安排较科学、合理，得3分；</w:t>
            </w:r>
          </w:p>
          <w:p>
            <w:pPr>
              <w:pStyle w:val="5"/>
              <w:keepNext w:val="0"/>
              <w:keepLines w:val="0"/>
              <w:pageBreakBefore w:val="0"/>
              <w:widowControl/>
              <w:kinsoku/>
              <w:wordWrap/>
              <w:overflowPunct/>
              <w:topLinePunct w:val="0"/>
              <w:autoSpaceDE/>
              <w:autoSpaceDN/>
              <w:bidi w:val="0"/>
              <w:adjustRightInd/>
              <w:snapToGrid w:val="0"/>
              <w:spacing w:after="0" w:afterLines="0" w:line="360" w:lineRule="auto"/>
              <w:ind w:left="0" w:leftChars="0" w:firstLine="0" w:firstLineChars="0"/>
              <w:textAlignment w:val="auto"/>
              <w:rPr>
                <w:rFonts w:hint="default" w:ascii="Arial" w:hAnsi="Arial" w:eastAsia="宋体" w:cs="Arial"/>
                <w:color w:val="000000"/>
                <w:spacing w:val="-6"/>
                <w:sz w:val="24"/>
                <w:szCs w:val="24"/>
              </w:rPr>
            </w:pPr>
            <w:r>
              <w:rPr>
                <w:rFonts w:hint="default" w:ascii="Arial" w:hAnsi="Arial" w:eastAsia="宋体" w:cs="Arial"/>
                <w:color w:val="000000"/>
                <w:spacing w:val="-6"/>
                <w:sz w:val="24"/>
                <w:szCs w:val="24"/>
              </w:rPr>
              <w:t>（3）实施方案需求分析步骤一般，测试、试运行、验收、进度安排一般，得1分。；</w:t>
            </w:r>
          </w:p>
          <w:p>
            <w:pPr>
              <w:pStyle w:val="4"/>
              <w:keepNext w:val="0"/>
              <w:keepLines w:val="0"/>
              <w:pageBreakBefore w:val="0"/>
              <w:widowControl/>
              <w:kinsoku/>
              <w:wordWrap/>
              <w:overflowPunct/>
              <w:topLinePunct w:val="0"/>
              <w:autoSpaceDE/>
              <w:autoSpaceDN/>
              <w:bidi w:val="0"/>
              <w:adjustRightInd/>
              <w:snapToGrid w:val="0"/>
              <w:spacing w:line="360" w:lineRule="auto"/>
              <w:textAlignment w:val="auto"/>
              <w:rPr>
                <w:rFonts w:hint="default" w:ascii="Arial" w:hAnsi="Arial" w:eastAsia="宋体" w:cs="Arial"/>
                <w:sz w:val="24"/>
                <w:szCs w:val="24"/>
              </w:rPr>
            </w:pPr>
            <w:r>
              <w:rPr>
                <w:rFonts w:hint="default" w:ascii="Arial" w:hAnsi="Arial" w:eastAsia="宋体" w:cs="Arial"/>
                <w:color w:val="000000"/>
                <w:spacing w:val="-6"/>
                <w:sz w:val="24"/>
                <w:szCs w:val="24"/>
              </w:rPr>
              <w:t>（4）不提供或提供的实施方案不清晰的，不得分。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70" w:type="dxa"/>
            <w:vAlign w:val="center"/>
          </w:tcPr>
          <w:p>
            <w:pPr>
              <w:pStyle w:val="4"/>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default" w:ascii="Arial" w:hAnsi="Arial" w:eastAsia="宋体" w:cs="Arial"/>
                <w:sz w:val="24"/>
                <w:szCs w:val="24"/>
              </w:rPr>
            </w:pPr>
            <w:r>
              <w:rPr>
                <w:rFonts w:hint="default" w:ascii="Arial" w:hAnsi="Arial" w:eastAsia="宋体" w:cs="Arial"/>
                <w:sz w:val="24"/>
                <w:szCs w:val="24"/>
              </w:rPr>
              <w:t>项目团队（</w:t>
            </w:r>
            <w:r>
              <w:rPr>
                <w:rFonts w:hint="eastAsia" w:ascii="Arial" w:hAnsi="Arial" w:cs="Arial"/>
                <w:sz w:val="24"/>
                <w:szCs w:val="24"/>
                <w:lang w:val="en-US" w:eastAsia="zh-CN"/>
              </w:rPr>
              <w:t>8</w:t>
            </w:r>
            <w:r>
              <w:rPr>
                <w:rFonts w:hint="default" w:ascii="Arial" w:hAnsi="Arial" w:eastAsia="宋体" w:cs="Arial"/>
                <w:sz w:val="24"/>
                <w:szCs w:val="24"/>
              </w:rPr>
              <w:t>分）</w:t>
            </w:r>
          </w:p>
        </w:tc>
        <w:tc>
          <w:tcPr>
            <w:tcW w:w="852" w:type="dxa"/>
            <w:vAlign w:val="center"/>
          </w:tcPr>
          <w:p>
            <w:pPr>
              <w:pStyle w:val="4"/>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Arial" w:hAnsi="Arial" w:eastAsia="宋体" w:cs="Arial"/>
                <w:sz w:val="24"/>
                <w:szCs w:val="24"/>
                <w:lang w:eastAsia="zh-CN"/>
              </w:rPr>
            </w:pPr>
            <w:r>
              <w:rPr>
                <w:rFonts w:hint="eastAsia" w:ascii="Arial" w:hAnsi="Arial" w:cs="Arial"/>
                <w:sz w:val="24"/>
                <w:szCs w:val="24"/>
                <w:lang w:val="en-US" w:eastAsia="zh-CN"/>
              </w:rPr>
              <w:t>8</w:t>
            </w:r>
          </w:p>
        </w:tc>
        <w:tc>
          <w:tcPr>
            <w:tcW w:w="7087" w:type="dxa"/>
            <w:vAlign w:val="center"/>
          </w:tcPr>
          <w:p>
            <w:pPr>
              <w:pStyle w:val="5"/>
              <w:keepNext w:val="0"/>
              <w:keepLines w:val="0"/>
              <w:pageBreakBefore w:val="0"/>
              <w:widowControl/>
              <w:kinsoku/>
              <w:wordWrap/>
              <w:overflowPunct/>
              <w:topLinePunct w:val="0"/>
              <w:autoSpaceDE/>
              <w:autoSpaceDN/>
              <w:bidi w:val="0"/>
              <w:adjustRightInd/>
              <w:snapToGrid w:val="0"/>
              <w:spacing w:after="0" w:afterLines="0" w:line="360" w:lineRule="auto"/>
              <w:ind w:left="0" w:leftChars="0" w:firstLine="0" w:firstLineChars="0"/>
              <w:textAlignment w:val="auto"/>
              <w:rPr>
                <w:rFonts w:hint="default" w:ascii="Arial" w:hAnsi="Arial" w:eastAsia="宋体" w:cs="Arial"/>
                <w:color w:val="000000"/>
                <w:spacing w:val="-6"/>
                <w:sz w:val="24"/>
                <w:szCs w:val="24"/>
              </w:rPr>
            </w:pPr>
            <w:r>
              <w:rPr>
                <w:rFonts w:hint="default" w:ascii="Arial" w:hAnsi="Arial" w:eastAsia="宋体" w:cs="Arial"/>
                <w:color w:val="000000"/>
                <w:spacing w:val="-6"/>
                <w:sz w:val="24"/>
                <w:szCs w:val="24"/>
              </w:rPr>
              <w:t>（1）项目组成员同时具有高级信息项目管理师证书、PMP、数据库系统工程师（中级或以上的）的得3分，否则不得分；</w:t>
            </w:r>
          </w:p>
          <w:p>
            <w:pPr>
              <w:pStyle w:val="5"/>
              <w:keepNext w:val="0"/>
              <w:keepLines w:val="0"/>
              <w:pageBreakBefore w:val="0"/>
              <w:widowControl/>
              <w:kinsoku/>
              <w:wordWrap/>
              <w:overflowPunct/>
              <w:topLinePunct w:val="0"/>
              <w:autoSpaceDE/>
              <w:autoSpaceDN/>
              <w:bidi w:val="0"/>
              <w:adjustRightInd/>
              <w:snapToGrid w:val="0"/>
              <w:spacing w:after="0" w:afterLines="0" w:line="360" w:lineRule="auto"/>
              <w:ind w:left="0" w:leftChars="0" w:firstLine="0" w:firstLineChars="0"/>
              <w:textAlignment w:val="auto"/>
              <w:rPr>
                <w:rFonts w:hint="default" w:ascii="Arial" w:hAnsi="Arial" w:eastAsia="宋体" w:cs="Arial"/>
                <w:color w:val="000000"/>
                <w:spacing w:val="-6"/>
                <w:sz w:val="24"/>
                <w:szCs w:val="24"/>
              </w:rPr>
            </w:pPr>
            <w:r>
              <w:rPr>
                <w:rFonts w:hint="default" w:ascii="Arial" w:hAnsi="Arial" w:eastAsia="宋体" w:cs="Arial"/>
                <w:color w:val="000000"/>
                <w:spacing w:val="-6"/>
                <w:sz w:val="24"/>
                <w:szCs w:val="24"/>
              </w:rPr>
              <w:t>（</w:t>
            </w:r>
            <w:r>
              <w:rPr>
                <w:rFonts w:hint="eastAsia" w:ascii="Arial" w:hAnsi="Arial" w:cs="Arial"/>
                <w:color w:val="000000"/>
                <w:spacing w:val="-6"/>
                <w:sz w:val="24"/>
                <w:szCs w:val="24"/>
                <w:lang w:val="en-US" w:eastAsia="zh-CN"/>
              </w:rPr>
              <w:t>2</w:t>
            </w:r>
            <w:r>
              <w:rPr>
                <w:rFonts w:hint="default" w:ascii="Arial" w:hAnsi="Arial" w:eastAsia="宋体" w:cs="Arial"/>
                <w:color w:val="000000"/>
                <w:spacing w:val="-6"/>
                <w:sz w:val="24"/>
                <w:szCs w:val="24"/>
              </w:rPr>
              <w:t>）项目组成员具有医学类中级职称证书的得</w:t>
            </w:r>
            <w:r>
              <w:rPr>
                <w:rFonts w:hint="eastAsia" w:ascii="Arial" w:hAnsi="Arial" w:cs="Arial"/>
                <w:color w:val="000000"/>
                <w:spacing w:val="-6"/>
                <w:sz w:val="24"/>
                <w:szCs w:val="24"/>
                <w:lang w:val="en-US" w:eastAsia="zh-CN"/>
              </w:rPr>
              <w:t>2</w:t>
            </w:r>
            <w:r>
              <w:rPr>
                <w:rFonts w:hint="default" w:ascii="Arial" w:hAnsi="Arial" w:eastAsia="宋体" w:cs="Arial"/>
                <w:color w:val="000000"/>
                <w:spacing w:val="-6"/>
                <w:sz w:val="24"/>
                <w:szCs w:val="24"/>
              </w:rPr>
              <w:t>分；</w:t>
            </w:r>
          </w:p>
          <w:p>
            <w:pPr>
              <w:pStyle w:val="5"/>
              <w:keepNext w:val="0"/>
              <w:keepLines w:val="0"/>
              <w:pageBreakBefore w:val="0"/>
              <w:widowControl/>
              <w:kinsoku/>
              <w:wordWrap/>
              <w:overflowPunct/>
              <w:topLinePunct w:val="0"/>
              <w:autoSpaceDE/>
              <w:autoSpaceDN/>
              <w:bidi w:val="0"/>
              <w:adjustRightInd/>
              <w:snapToGrid w:val="0"/>
              <w:spacing w:after="0" w:afterLines="0" w:line="360" w:lineRule="auto"/>
              <w:ind w:left="0" w:leftChars="0" w:firstLine="0" w:firstLineChars="0"/>
              <w:textAlignment w:val="auto"/>
              <w:rPr>
                <w:rFonts w:hint="default" w:ascii="Arial" w:hAnsi="Arial" w:eastAsia="宋体" w:cs="Arial"/>
                <w:color w:val="000000"/>
                <w:spacing w:val="-6"/>
                <w:sz w:val="24"/>
                <w:szCs w:val="24"/>
              </w:rPr>
            </w:pPr>
            <w:r>
              <w:rPr>
                <w:rFonts w:hint="default" w:ascii="Arial" w:hAnsi="Arial" w:eastAsia="宋体" w:cs="Arial"/>
                <w:color w:val="000000"/>
                <w:spacing w:val="-6"/>
                <w:sz w:val="24"/>
                <w:szCs w:val="24"/>
              </w:rPr>
              <w:t>（</w:t>
            </w:r>
            <w:r>
              <w:rPr>
                <w:rFonts w:hint="eastAsia" w:ascii="Arial" w:hAnsi="Arial" w:cs="Arial"/>
                <w:color w:val="000000"/>
                <w:spacing w:val="-6"/>
                <w:sz w:val="24"/>
                <w:szCs w:val="24"/>
                <w:lang w:val="en-US" w:eastAsia="zh-CN"/>
              </w:rPr>
              <w:t>3</w:t>
            </w:r>
            <w:r>
              <w:rPr>
                <w:rFonts w:hint="default" w:ascii="Arial" w:hAnsi="Arial" w:eastAsia="宋体" w:cs="Arial"/>
                <w:color w:val="000000"/>
                <w:spacing w:val="-6"/>
                <w:sz w:val="24"/>
                <w:szCs w:val="24"/>
              </w:rPr>
              <w:t>）项目组数据分析成员具有统计专业技术资格证书（中级及以上）的得</w:t>
            </w:r>
            <w:r>
              <w:rPr>
                <w:rFonts w:hint="eastAsia" w:ascii="Arial" w:hAnsi="Arial" w:cs="Arial"/>
                <w:color w:val="000000"/>
                <w:spacing w:val="-6"/>
                <w:sz w:val="24"/>
                <w:szCs w:val="24"/>
                <w:lang w:val="en-US" w:eastAsia="zh-CN"/>
              </w:rPr>
              <w:t>2</w:t>
            </w:r>
            <w:r>
              <w:rPr>
                <w:rFonts w:hint="default" w:ascii="Arial" w:hAnsi="Arial" w:eastAsia="宋体" w:cs="Arial"/>
                <w:color w:val="000000"/>
                <w:spacing w:val="-6"/>
                <w:sz w:val="24"/>
                <w:szCs w:val="24"/>
              </w:rPr>
              <w:t>分。</w:t>
            </w:r>
          </w:p>
          <w:p>
            <w:pPr>
              <w:pStyle w:val="5"/>
              <w:keepNext w:val="0"/>
              <w:keepLines w:val="0"/>
              <w:pageBreakBefore w:val="0"/>
              <w:widowControl/>
              <w:kinsoku/>
              <w:wordWrap/>
              <w:overflowPunct/>
              <w:topLinePunct w:val="0"/>
              <w:autoSpaceDE/>
              <w:autoSpaceDN/>
              <w:bidi w:val="0"/>
              <w:adjustRightInd/>
              <w:snapToGrid w:val="0"/>
              <w:spacing w:after="0" w:afterLines="0" w:line="360" w:lineRule="auto"/>
              <w:ind w:left="0" w:leftChars="0" w:firstLine="0" w:firstLineChars="0"/>
              <w:textAlignment w:val="auto"/>
              <w:rPr>
                <w:rFonts w:hint="default" w:ascii="Arial" w:hAnsi="Arial" w:eastAsia="宋体" w:cs="Arial"/>
                <w:color w:val="000000"/>
                <w:spacing w:val="-6"/>
                <w:sz w:val="24"/>
                <w:szCs w:val="24"/>
              </w:rPr>
            </w:pPr>
            <w:r>
              <w:rPr>
                <w:rFonts w:hint="default" w:ascii="Arial" w:hAnsi="Arial" w:eastAsia="宋体" w:cs="Arial"/>
                <w:color w:val="000000"/>
                <w:spacing w:val="-6"/>
                <w:sz w:val="24"/>
                <w:szCs w:val="24"/>
              </w:rPr>
              <w:t>（</w:t>
            </w:r>
            <w:r>
              <w:rPr>
                <w:rFonts w:hint="eastAsia" w:ascii="Arial" w:hAnsi="Arial" w:cs="Arial"/>
                <w:color w:val="000000"/>
                <w:spacing w:val="-6"/>
                <w:sz w:val="24"/>
                <w:szCs w:val="24"/>
                <w:lang w:val="en-US" w:eastAsia="zh-CN"/>
              </w:rPr>
              <w:t>4</w:t>
            </w:r>
            <w:r>
              <w:rPr>
                <w:rFonts w:hint="default" w:ascii="Arial" w:hAnsi="Arial" w:eastAsia="宋体" w:cs="Arial"/>
                <w:color w:val="000000"/>
                <w:spacing w:val="-6"/>
                <w:sz w:val="24"/>
                <w:szCs w:val="24"/>
              </w:rPr>
              <w:t>）项目组成员具有软件设计师证书的得</w:t>
            </w:r>
            <w:r>
              <w:rPr>
                <w:rFonts w:hint="eastAsia" w:ascii="Arial" w:hAnsi="Arial" w:cs="Arial"/>
                <w:color w:val="000000"/>
                <w:spacing w:val="-6"/>
                <w:sz w:val="24"/>
                <w:szCs w:val="24"/>
                <w:lang w:val="en-US" w:eastAsia="zh-CN"/>
              </w:rPr>
              <w:t>1</w:t>
            </w:r>
            <w:r>
              <w:rPr>
                <w:rFonts w:hint="default" w:ascii="Arial" w:hAnsi="Arial" w:eastAsia="宋体" w:cs="Arial"/>
                <w:color w:val="000000"/>
                <w:spacing w:val="-6"/>
                <w:sz w:val="24"/>
                <w:szCs w:val="24"/>
              </w:rPr>
              <w:t>分；</w:t>
            </w:r>
          </w:p>
          <w:p>
            <w:pPr>
              <w:keepNext w:val="0"/>
              <w:keepLines w:val="0"/>
              <w:pageBreakBefore w:val="0"/>
              <w:widowControl/>
              <w:kinsoku/>
              <w:wordWrap/>
              <w:overflowPunct/>
              <w:topLinePunct w:val="0"/>
              <w:autoSpaceDE/>
              <w:autoSpaceDN/>
              <w:bidi w:val="0"/>
              <w:adjustRightInd/>
              <w:snapToGrid w:val="0"/>
              <w:spacing w:line="360" w:lineRule="auto"/>
              <w:textAlignment w:val="auto"/>
              <w:rPr>
                <w:rFonts w:hint="default" w:ascii="Arial" w:hAnsi="Arial" w:eastAsia="宋体" w:cs="Arial"/>
                <w:sz w:val="24"/>
                <w:szCs w:val="24"/>
              </w:rPr>
            </w:pPr>
            <w:r>
              <w:rPr>
                <w:rFonts w:hint="default" w:ascii="Arial" w:hAnsi="Arial" w:eastAsia="宋体" w:cs="Arial"/>
                <w:color w:val="000000"/>
                <w:spacing w:val="-6"/>
                <w:sz w:val="24"/>
                <w:szCs w:val="24"/>
              </w:rPr>
              <w:t>（须提供符合上述要求人员的相关资质证书复印件及近</w:t>
            </w:r>
            <w:r>
              <w:rPr>
                <w:rFonts w:hint="eastAsia" w:ascii="Arial" w:hAnsi="Arial" w:cs="Arial"/>
                <w:color w:val="000000"/>
                <w:spacing w:val="-6"/>
                <w:sz w:val="24"/>
                <w:szCs w:val="24"/>
                <w:lang w:val="en-US" w:eastAsia="zh-CN"/>
              </w:rPr>
              <w:t>三</w:t>
            </w:r>
            <w:r>
              <w:rPr>
                <w:rFonts w:hint="default" w:ascii="Arial" w:hAnsi="Arial" w:eastAsia="宋体" w:cs="Arial"/>
                <w:color w:val="000000"/>
                <w:spacing w:val="-6"/>
                <w:sz w:val="24"/>
                <w:szCs w:val="24"/>
              </w:rPr>
              <w:t>个月内任意一个月在本单位参保的社保缴费证明复印件，相同人员的证书不重复计分。）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70" w:type="dxa"/>
            <w:vAlign w:val="center"/>
          </w:tcPr>
          <w:p>
            <w:pPr>
              <w:pStyle w:val="5"/>
              <w:keepNext w:val="0"/>
              <w:keepLines w:val="0"/>
              <w:pageBreakBefore w:val="0"/>
              <w:kinsoku/>
              <w:wordWrap/>
              <w:overflowPunct/>
              <w:topLinePunct w:val="0"/>
              <w:bidi w:val="0"/>
              <w:snapToGrid w:val="0"/>
              <w:spacing w:line="360" w:lineRule="auto"/>
              <w:ind w:left="0" w:leftChars="0" w:firstLine="0" w:firstLineChars="0"/>
              <w:textAlignment w:val="auto"/>
              <w:rPr>
                <w:rFonts w:hint="default" w:ascii="Arial" w:hAnsi="Arial" w:eastAsia="宋体" w:cs="Arial"/>
                <w:color w:val="000000"/>
                <w:spacing w:val="-6"/>
                <w:sz w:val="24"/>
                <w:szCs w:val="24"/>
              </w:rPr>
            </w:pPr>
            <w:r>
              <w:rPr>
                <w:rFonts w:hint="default" w:ascii="Arial" w:hAnsi="Arial" w:eastAsia="宋体" w:cs="Arial"/>
                <w:color w:val="000000"/>
                <w:spacing w:val="-6"/>
                <w:sz w:val="24"/>
                <w:szCs w:val="24"/>
              </w:rPr>
              <w:t>验收方案</w:t>
            </w:r>
          </w:p>
          <w:p>
            <w:pPr>
              <w:pStyle w:val="5"/>
              <w:keepNext w:val="0"/>
              <w:keepLines w:val="0"/>
              <w:pageBreakBefore w:val="0"/>
              <w:kinsoku/>
              <w:wordWrap/>
              <w:overflowPunct/>
              <w:topLinePunct w:val="0"/>
              <w:bidi w:val="0"/>
              <w:snapToGrid w:val="0"/>
              <w:spacing w:line="360" w:lineRule="auto"/>
              <w:ind w:left="0" w:leftChars="0" w:firstLine="0" w:firstLineChars="0"/>
              <w:textAlignment w:val="auto"/>
              <w:rPr>
                <w:rFonts w:hint="default" w:ascii="Arial" w:hAnsi="Arial" w:eastAsia="宋体" w:cs="Arial"/>
                <w:color w:val="000000"/>
                <w:spacing w:val="-6"/>
                <w:sz w:val="24"/>
                <w:szCs w:val="24"/>
              </w:rPr>
            </w:pPr>
            <w:r>
              <w:rPr>
                <w:rFonts w:hint="default" w:ascii="Arial" w:hAnsi="Arial" w:eastAsia="宋体" w:cs="Arial"/>
                <w:color w:val="000000"/>
                <w:spacing w:val="-6"/>
                <w:sz w:val="24"/>
                <w:szCs w:val="24"/>
              </w:rPr>
              <w:t>（</w:t>
            </w:r>
            <w:r>
              <w:rPr>
                <w:rFonts w:hint="eastAsia" w:ascii="Arial" w:hAnsi="Arial" w:eastAsia="宋体" w:cs="Arial"/>
                <w:color w:val="000000"/>
                <w:spacing w:val="-6"/>
                <w:sz w:val="24"/>
                <w:szCs w:val="24"/>
                <w:lang w:val="en-US" w:eastAsia="zh-CN"/>
              </w:rPr>
              <w:t>4</w:t>
            </w:r>
            <w:r>
              <w:rPr>
                <w:rFonts w:hint="default" w:ascii="Arial" w:hAnsi="Arial" w:eastAsia="宋体" w:cs="Arial"/>
                <w:color w:val="000000"/>
                <w:spacing w:val="-6"/>
                <w:sz w:val="24"/>
                <w:szCs w:val="24"/>
              </w:rPr>
              <w:t>分）</w:t>
            </w:r>
          </w:p>
        </w:tc>
        <w:tc>
          <w:tcPr>
            <w:tcW w:w="852" w:type="dxa"/>
            <w:vAlign w:val="center"/>
          </w:tcPr>
          <w:p>
            <w:pPr>
              <w:pStyle w:val="5"/>
              <w:keepNext w:val="0"/>
              <w:keepLines w:val="0"/>
              <w:pageBreakBefore w:val="0"/>
              <w:widowControl/>
              <w:kinsoku/>
              <w:wordWrap/>
              <w:overflowPunct/>
              <w:topLinePunct w:val="0"/>
              <w:autoSpaceDE/>
              <w:autoSpaceDN/>
              <w:bidi w:val="0"/>
              <w:adjustRightInd/>
              <w:snapToGrid w:val="0"/>
              <w:spacing w:line="360" w:lineRule="auto"/>
              <w:ind w:left="0" w:leftChars="0" w:firstLine="0"/>
              <w:jc w:val="center"/>
              <w:textAlignment w:val="auto"/>
              <w:rPr>
                <w:rFonts w:hint="eastAsia" w:ascii="Arial" w:hAnsi="Arial" w:eastAsia="宋体" w:cs="Arial"/>
                <w:color w:val="000000"/>
                <w:spacing w:val="-6"/>
                <w:sz w:val="24"/>
                <w:szCs w:val="24"/>
                <w:lang w:eastAsia="zh-CN"/>
              </w:rPr>
            </w:pPr>
            <w:r>
              <w:rPr>
                <w:rFonts w:hint="eastAsia" w:ascii="Arial" w:hAnsi="Arial" w:eastAsia="宋体" w:cs="Arial"/>
                <w:color w:val="000000"/>
                <w:spacing w:val="-6"/>
                <w:sz w:val="24"/>
                <w:szCs w:val="24"/>
                <w:lang w:val="en-US" w:eastAsia="zh-CN"/>
              </w:rPr>
              <w:t>4</w:t>
            </w:r>
          </w:p>
        </w:tc>
        <w:tc>
          <w:tcPr>
            <w:tcW w:w="7087" w:type="dxa"/>
            <w:vAlign w:val="center"/>
          </w:tcPr>
          <w:p>
            <w:pPr>
              <w:pStyle w:val="5"/>
              <w:keepNext w:val="0"/>
              <w:keepLines w:val="0"/>
              <w:pageBreakBefore w:val="0"/>
              <w:kinsoku/>
              <w:wordWrap/>
              <w:overflowPunct/>
              <w:topLinePunct w:val="0"/>
              <w:bidi w:val="0"/>
              <w:snapToGrid w:val="0"/>
              <w:spacing w:line="360" w:lineRule="auto"/>
              <w:ind w:left="0" w:leftChars="0" w:firstLine="0" w:firstLineChars="0"/>
              <w:textAlignment w:val="auto"/>
              <w:rPr>
                <w:rFonts w:hint="default" w:ascii="Arial" w:hAnsi="Arial" w:eastAsia="宋体" w:cs="Arial"/>
                <w:color w:val="000000"/>
                <w:spacing w:val="-6"/>
                <w:sz w:val="24"/>
                <w:szCs w:val="24"/>
              </w:rPr>
            </w:pPr>
            <w:r>
              <w:rPr>
                <w:rFonts w:hint="default" w:ascii="Arial" w:hAnsi="Arial" w:eastAsia="宋体" w:cs="Arial"/>
                <w:color w:val="000000"/>
                <w:spacing w:val="-6"/>
                <w:sz w:val="24"/>
                <w:szCs w:val="24"/>
              </w:rPr>
              <w:t>验收方案应详细阐述项目验收前提条件、验收程序、验收依据，以及验收的内容与标准等，方案应尽可能全面、详尽、合理、科学。</w:t>
            </w:r>
          </w:p>
          <w:p>
            <w:pPr>
              <w:pStyle w:val="5"/>
              <w:keepNext w:val="0"/>
              <w:keepLines w:val="0"/>
              <w:pageBreakBefore w:val="0"/>
              <w:kinsoku/>
              <w:wordWrap/>
              <w:overflowPunct/>
              <w:topLinePunct w:val="0"/>
              <w:bidi w:val="0"/>
              <w:snapToGrid w:val="0"/>
              <w:spacing w:line="360" w:lineRule="auto"/>
              <w:ind w:left="0" w:leftChars="0" w:firstLine="0" w:firstLineChars="0"/>
              <w:textAlignment w:val="auto"/>
              <w:rPr>
                <w:rFonts w:hint="default" w:ascii="Arial" w:hAnsi="Arial" w:eastAsia="宋体" w:cs="Arial"/>
                <w:color w:val="000000"/>
                <w:spacing w:val="-6"/>
                <w:sz w:val="24"/>
                <w:szCs w:val="24"/>
              </w:rPr>
            </w:pPr>
            <w:r>
              <w:rPr>
                <w:rFonts w:hint="default" w:ascii="Arial" w:hAnsi="Arial" w:eastAsia="宋体" w:cs="Arial"/>
                <w:color w:val="000000"/>
                <w:spacing w:val="-6"/>
                <w:sz w:val="24"/>
                <w:szCs w:val="24"/>
              </w:rPr>
              <w:t>（1）验收方案科学合理，内容详实且切实可行，得</w:t>
            </w:r>
            <w:r>
              <w:rPr>
                <w:rFonts w:hint="eastAsia" w:ascii="Arial" w:hAnsi="Arial" w:eastAsia="宋体" w:cs="Arial"/>
                <w:color w:val="000000"/>
                <w:spacing w:val="-6"/>
                <w:sz w:val="24"/>
                <w:szCs w:val="24"/>
                <w:lang w:val="en-US" w:eastAsia="zh-CN"/>
              </w:rPr>
              <w:t>4</w:t>
            </w:r>
            <w:r>
              <w:rPr>
                <w:rFonts w:hint="default" w:ascii="Arial" w:hAnsi="Arial" w:eastAsia="宋体" w:cs="Arial"/>
                <w:color w:val="000000"/>
                <w:spacing w:val="-6"/>
                <w:sz w:val="24"/>
                <w:szCs w:val="24"/>
              </w:rPr>
              <w:t>分；</w:t>
            </w:r>
          </w:p>
          <w:p>
            <w:pPr>
              <w:pStyle w:val="5"/>
              <w:keepNext w:val="0"/>
              <w:keepLines w:val="0"/>
              <w:pageBreakBefore w:val="0"/>
              <w:kinsoku/>
              <w:wordWrap/>
              <w:overflowPunct/>
              <w:topLinePunct w:val="0"/>
              <w:bidi w:val="0"/>
              <w:snapToGrid w:val="0"/>
              <w:spacing w:line="360" w:lineRule="auto"/>
              <w:ind w:left="0" w:leftChars="0" w:firstLine="0" w:firstLineChars="0"/>
              <w:textAlignment w:val="auto"/>
              <w:rPr>
                <w:rFonts w:hint="default" w:ascii="Arial" w:hAnsi="Arial" w:eastAsia="宋体" w:cs="Arial"/>
                <w:color w:val="000000"/>
                <w:spacing w:val="-6"/>
                <w:sz w:val="24"/>
                <w:szCs w:val="24"/>
              </w:rPr>
            </w:pPr>
            <w:r>
              <w:rPr>
                <w:rFonts w:hint="default" w:ascii="Arial" w:hAnsi="Arial" w:eastAsia="宋体" w:cs="Arial"/>
                <w:color w:val="000000"/>
                <w:spacing w:val="-6"/>
                <w:sz w:val="24"/>
                <w:szCs w:val="24"/>
              </w:rPr>
              <w:t xml:space="preserve">（2）验收方案较为科学合理，内容详实，具有一定的可行性，得2分； </w:t>
            </w:r>
          </w:p>
          <w:p>
            <w:pPr>
              <w:pStyle w:val="5"/>
              <w:keepNext w:val="0"/>
              <w:keepLines w:val="0"/>
              <w:pageBreakBefore w:val="0"/>
              <w:kinsoku/>
              <w:wordWrap/>
              <w:overflowPunct/>
              <w:topLinePunct w:val="0"/>
              <w:bidi w:val="0"/>
              <w:snapToGrid w:val="0"/>
              <w:spacing w:line="360" w:lineRule="auto"/>
              <w:ind w:left="0" w:leftChars="0" w:firstLine="0" w:firstLineChars="0"/>
              <w:textAlignment w:val="auto"/>
              <w:rPr>
                <w:rFonts w:hint="default" w:ascii="Arial" w:hAnsi="Arial" w:eastAsia="宋体" w:cs="Arial"/>
                <w:color w:val="000000"/>
                <w:spacing w:val="-6"/>
                <w:sz w:val="24"/>
                <w:szCs w:val="24"/>
              </w:rPr>
            </w:pPr>
            <w:r>
              <w:rPr>
                <w:rFonts w:hint="default" w:ascii="Arial" w:hAnsi="Arial" w:eastAsia="宋体" w:cs="Arial"/>
                <w:color w:val="000000"/>
                <w:spacing w:val="-6"/>
                <w:sz w:val="24"/>
                <w:szCs w:val="24"/>
              </w:rPr>
              <w:t>（3）验收方案及相关内容较为一般，有不足之处，得1分；</w:t>
            </w:r>
          </w:p>
          <w:p>
            <w:pPr>
              <w:pStyle w:val="5"/>
              <w:keepNext w:val="0"/>
              <w:keepLines w:val="0"/>
              <w:pageBreakBefore w:val="0"/>
              <w:kinsoku/>
              <w:wordWrap/>
              <w:overflowPunct/>
              <w:topLinePunct w:val="0"/>
              <w:bidi w:val="0"/>
              <w:snapToGrid w:val="0"/>
              <w:spacing w:line="360" w:lineRule="auto"/>
              <w:ind w:left="0" w:leftChars="0" w:firstLine="0" w:firstLineChars="0"/>
              <w:textAlignment w:val="auto"/>
              <w:rPr>
                <w:rFonts w:hint="default" w:ascii="Arial" w:hAnsi="Arial" w:eastAsia="宋体" w:cs="Arial"/>
                <w:color w:val="000000"/>
                <w:spacing w:val="-6"/>
                <w:sz w:val="24"/>
                <w:szCs w:val="24"/>
              </w:rPr>
            </w:pPr>
            <w:r>
              <w:rPr>
                <w:rFonts w:hint="default" w:ascii="Arial" w:hAnsi="Arial" w:eastAsia="宋体" w:cs="Arial"/>
                <w:color w:val="000000"/>
                <w:spacing w:val="-6"/>
                <w:sz w:val="24"/>
                <w:szCs w:val="24"/>
              </w:rPr>
              <w:t>（4）不提供或提供的验收方案不合理的，不得分。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70" w:type="dxa"/>
            <w:vAlign w:val="center"/>
          </w:tcPr>
          <w:p>
            <w:pPr>
              <w:pStyle w:val="4"/>
              <w:keepNext w:val="0"/>
              <w:keepLines w:val="0"/>
              <w:pageBreakBefore w:val="0"/>
              <w:kinsoku/>
              <w:wordWrap/>
              <w:overflowPunct/>
              <w:topLinePunct w:val="0"/>
              <w:bidi w:val="0"/>
              <w:snapToGrid w:val="0"/>
              <w:spacing w:after="0" w:line="360" w:lineRule="auto"/>
              <w:jc w:val="center"/>
              <w:textAlignment w:val="auto"/>
              <w:rPr>
                <w:rFonts w:hint="default" w:ascii="Arial" w:hAnsi="Arial" w:eastAsia="宋体" w:cs="Arial"/>
                <w:sz w:val="24"/>
                <w:szCs w:val="24"/>
              </w:rPr>
            </w:pPr>
            <w:r>
              <w:rPr>
                <w:rFonts w:hint="default" w:ascii="Arial" w:hAnsi="Arial" w:eastAsia="宋体" w:cs="Arial"/>
                <w:sz w:val="24"/>
                <w:szCs w:val="24"/>
              </w:rPr>
              <w:t>培训方案（4分）</w:t>
            </w:r>
          </w:p>
        </w:tc>
        <w:tc>
          <w:tcPr>
            <w:tcW w:w="852" w:type="dxa"/>
            <w:vAlign w:val="center"/>
          </w:tcPr>
          <w:p>
            <w:pPr>
              <w:pStyle w:val="4"/>
              <w:keepNext w:val="0"/>
              <w:keepLines w:val="0"/>
              <w:pageBreakBefore w:val="0"/>
              <w:kinsoku/>
              <w:wordWrap/>
              <w:overflowPunct/>
              <w:topLinePunct w:val="0"/>
              <w:bidi w:val="0"/>
              <w:snapToGrid w:val="0"/>
              <w:spacing w:after="0" w:line="360" w:lineRule="auto"/>
              <w:jc w:val="center"/>
              <w:textAlignment w:val="auto"/>
              <w:rPr>
                <w:rFonts w:hint="default" w:ascii="Arial" w:hAnsi="Arial" w:eastAsia="宋体" w:cs="Arial"/>
                <w:sz w:val="24"/>
                <w:szCs w:val="24"/>
              </w:rPr>
            </w:pPr>
            <w:r>
              <w:rPr>
                <w:rFonts w:hint="default" w:ascii="Arial" w:hAnsi="Arial" w:eastAsia="宋体" w:cs="Arial"/>
                <w:sz w:val="24"/>
                <w:szCs w:val="24"/>
              </w:rPr>
              <w:t>4</w:t>
            </w:r>
          </w:p>
        </w:tc>
        <w:tc>
          <w:tcPr>
            <w:tcW w:w="7087" w:type="dxa"/>
            <w:vAlign w:val="center"/>
          </w:tcPr>
          <w:p>
            <w:pPr>
              <w:pStyle w:val="5"/>
              <w:keepNext w:val="0"/>
              <w:keepLines w:val="0"/>
              <w:pageBreakBefore w:val="0"/>
              <w:kinsoku/>
              <w:wordWrap/>
              <w:overflowPunct/>
              <w:topLinePunct w:val="0"/>
              <w:bidi w:val="0"/>
              <w:snapToGrid w:val="0"/>
              <w:spacing w:line="360" w:lineRule="auto"/>
              <w:ind w:left="0" w:leftChars="0" w:firstLine="0" w:firstLineChars="0"/>
              <w:textAlignment w:val="auto"/>
              <w:rPr>
                <w:rFonts w:hint="default" w:ascii="Arial" w:hAnsi="Arial" w:eastAsia="宋体" w:cs="Arial"/>
                <w:color w:val="000000"/>
                <w:spacing w:val="-6"/>
                <w:sz w:val="24"/>
                <w:szCs w:val="24"/>
              </w:rPr>
            </w:pPr>
            <w:r>
              <w:rPr>
                <w:rFonts w:hint="default" w:ascii="Arial" w:hAnsi="Arial" w:eastAsia="宋体" w:cs="Arial"/>
                <w:color w:val="000000"/>
                <w:spacing w:val="-6"/>
                <w:sz w:val="24"/>
                <w:szCs w:val="24"/>
              </w:rPr>
              <w:t>培训计划：包括培训内容、时间、地点、人次，费用计入总报价；系统计算机管理人员培训，重点培训为软件的安装、维护、调试、配置及使用技能；业务人员培训，重点对相应应用的操作、使用。</w:t>
            </w:r>
          </w:p>
          <w:p>
            <w:pPr>
              <w:pStyle w:val="5"/>
              <w:keepNext w:val="0"/>
              <w:keepLines w:val="0"/>
              <w:pageBreakBefore w:val="0"/>
              <w:kinsoku/>
              <w:wordWrap/>
              <w:overflowPunct/>
              <w:topLinePunct w:val="0"/>
              <w:bidi w:val="0"/>
              <w:snapToGrid w:val="0"/>
              <w:spacing w:line="360" w:lineRule="auto"/>
              <w:ind w:left="0" w:leftChars="0" w:firstLine="0" w:firstLineChars="0"/>
              <w:textAlignment w:val="auto"/>
              <w:rPr>
                <w:rFonts w:hint="default" w:ascii="Arial" w:hAnsi="Arial" w:eastAsia="宋体" w:cs="Arial"/>
                <w:color w:val="000000"/>
                <w:spacing w:val="-6"/>
                <w:sz w:val="24"/>
                <w:szCs w:val="24"/>
              </w:rPr>
            </w:pPr>
            <w:r>
              <w:rPr>
                <w:rFonts w:hint="default" w:ascii="Arial" w:hAnsi="Arial" w:eastAsia="宋体" w:cs="Arial"/>
                <w:color w:val="000000"/>
                <w:spacing w:val="-6"/>
                <w:sz w:val="24"/>
                <w:szCs w:val="24"/>
              </w:rPr>
              <w:t>（1）培训方案内容完整，科学合理，针对性强得4分；</w:t>
            </w:r>
          </w:p>
          <w:p>
            <w:pPr>
              <w:pStyle w:val="5"/>
              <w:keepNext w:val="0"/>
              <w:keepLines w:val="0"/>
              <w:pageBreakBefore w:val="0"/>
              <w:kinsoku/>
              <w:wordWrap/>
              <w:overflowPunct/>
              <w:topLinePunct w:val="0"/>
              <w:bidi w:val="0"/>
              <w:snapToGrid w:val="0"/>
              <w:spacing w:line="360" w:lineRule="auto"/>
              <w:ind w:left="0" w:leftChars="0" w:firstLine="0" w:firstLineChars="0"/>
              <w:textAlignment w:val="auto"/>
              <w:rPr>
                <w:rFonts w:hint="default" w:ascii="Arial" w:hAnsi="Arial" w:eastAsia="宋体" w:cs="Arial"/>
                <w:color w:val="000000"/>
                <w:spacing w:val="-6"/>
                <w:sz w:val="24"/>
                <w:szCs w:val="24"/>
              </w:rPr>
            </w:pPr>
            <w:r>
              <w:rPr>
                <w:rFonts w:hint="default" w:ascii="Arial" w:hAnsi="Arial" w:eastAsia="宋体" w:cs="Arial"/>
                <w:color w:val="000000"/>
                <w:spacing w:val="-6"/>
                <w:sz w:val="24"/>
                <w:szCs w:val="24"/>
              </w:rPr>
              <w:t>（</w:t>
            </w:r>
            <w:r>
              <w:rPr>
                <w:rFonts w:hint="eastAsia" w:ascii="Arial" w:hAnsi="Arial" w:cs="Arial"/>
                <w:color w:val="000000"/>
                <w:spacing w:val="-6"/>
                <w:sz w:val="24"/>
                <w:szCs w:val="24"/>
                <w:lang w:val="en-US" w:eastAsia="zh-CN"/>
              </w:rPr>
              <w:t>2</w:t>
            </w:r>
            <w:r>
              <w:rPr>
                <w:rFonts w:hint="default" w:ascii="Arial" w:hAnsi="Arial" w:eastAsia="宋体" w:cs="Arial"/>
                <w:color w:val="000000"/>
                <w:spacing w:val="-6"/>
                <w:sz w:val="24"/>
                <w:szCs w:val="24"/>
              </w:rPr>
              <w:t>）培训方案内容完整性、合理性一般得</w:t>
            </w:r>
            <w:r>
              <w:rPr>
                <w:rFonts w:hint="eastAsia" w:ascii="Arial" w:hAnsi="Arial" w:eastAsia="宋体" w:cs="Arial"/>
                <w:color w:val="000000"/>
                <w:spacing w:val="-6"/>
                <w:sz w:val="24"/>
                <w:szCs w:val="24"/>
                <w:lang w:val="en-US" w:eastAsia="zh-CN"/>
              </w:rPr>
              <w:t>2</w:t>
            </w:r>
            <w:r>
              <w:rPr>
                <w:rFonts w:hint="default" w:ascii="Arial" w:hAnsi="Arial" w:eastAsia="宋体" w:cs="Arial"/>
                <w:color w:val="000000"/>
                <w:spacing w:val="-6"/>
                <w:sz w:val="24"/>
                <w:szCs w:val="24"/>
              </w:rPr>
              <w:t>分；</w:t>
            </w:r>
          </w:p>
          <w:p>
            <w:pPr>
              <w:pStyle w:val="4"/>
              <w:keepNext w:val="0"/>
              <w:keepLines w:val="0"/>
              <w:pageBreakBefore w:val="0"/>
              <w:kinsoku/>
              <w:wordWrap/>
              <w:overflowPunct/>
              <w:topLinePunct w:val="0"/>
              <w:bidi w:val="0"/>
              <w:snapToGrid w:val="0"/>
              <w:spacing w:after="0" w:line="360" w:lineRule="auto"/>
              <w:textAlignment w:val="auto"/>
              <w:rPr>
                <w:rFonts w:hint="default" w:ascii="Arial" w:hAnsi="Arial" w:eastAsia="宋体" w:cs="Arial"/>
                <w:sz w:val="24"/>
                <w:szCs w:val="24"/>
              </w:rPr>
            </w:pPr>
            <w:r>
              <w:rPr>
                <w:rFonts w:hint="default" w:ascii="Arial" w:hAnsi="Arial" w:eastAsia="宋体" w:cs="Arial"/>
                <w:color w:val="000000"/>
                <w:spacing w:val="-6"/>
                <w:sz w:val="24"/>
                <w:szCs w:val="24"/>
              </w:rPr>
              <w:t>（</w:t>
            </w:r>
            <w:r>
              <w:rPr>
                <w:rFonts w:hint="eastAsia" w:ascii="Arial" w:hAnsi="Arial" w:eastAsia="宋体" w:cs="Arial"/>
                <w:color w:val="000000"/>
                <w:spacing w:val="-6"/>
                <w:sz w:val="24"/>
                <w:szCs w:val="24"/>
                <w:lang w:val="en-US" w:eastAsia="zh-CN"/>
              </w:rPr>
              <w:t>3</w:t>
            </w:r>
            <w:r>
              <w:rPr>
                <w:rFonts w:hint="default" w:ascii="Arial" w:hAnsi="Arial" w:eastAsia="宋体" w:cs="Arial"/>
                <w:color w:val="000000"/>
                <w:spacing w:val="-6"/>
                <w:sz w:val="24"/>
                <w:szCs w:val="24"/>
              </w:rPr>
              <w:t>）未提供培训方案得0分。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270" w:type="dxa"/>
            <w:vAlign w:val="center"/>
          </w:tcPr>
          <w:p>
            <w:pPr>
              <w:pStyle w:val="4"/>
              <w:keepNext w:val="0"/>
              <w:keepLines w:val="0"/>
              <w:pageBreakBefore w:val="0"/>
              <w:kinsoku/>
              <w:wordWrap/>
              <w:overflowPunct/>
              <w:topLinePunct w:val="0"/>
              <w:bidi w:val="0"/>
              <w:snapToGrid w:val="0"/>
              <w:spacing w:after="0" w:line="360" w:lineRule="auto"/>
              <w:jc w:val="center"/>
              <w:textAlignment w:val="auto"/>
              <w:rPr>
                <w:rFonts w:hint="default" w:ascii="Arial" w:hAnsi="Arial" w:eastAsia="宋体" w:cs="Arial"/>
                <w:sz w:val="24"/>
                <w:szCs w:val="24"/>
              </w:rPr>
            </w:pPr>
            <w:r>
              <w:rPr>
                <w:rFonts w:hint="default" w:ascii="Arial" w:hAnsi="Arial" w:eastAsia="宋体" w:cs="Arial"/>
                <w:sz w:val="24"/>
                <w:szCs w:val="24"/>
              </w:rPr>
              <w:t>售后服务方案（</w:t>
            </w:r>
            <w:r>
              <w:rPr>
                <w:rFonts w:hint="eastAsia" w:ascii="Arial" w:hAnsi="Arial" w:eastAsia="宋体" w:cs="Arial"/>
                <w:sz w:val="24"/>
                <w:szCs w:val="24"/>
                <w:lang w:val="en-US" w:eastAsia="zh-CN"/>
              </w:rPr>
              <w:t>5</w:t>
            </w:r>
            <w:r>
              <w:rPr>
                <w:rFonts w:hint="default" w:ascii="Arial" w:hAnsi="Arial" w:eastAsia="宋体" w:cs="Arial"/>
                <w:sz w:val="24"/>
                <w:szCs w:val="24"/>
              </w:rPr>
              <w:t>分）</w:t>
            </w:r>
          </w:p>
        </w:tc>
        <w:tc>
          <w:tcPr>
            <w:tcW w:w="852" w:type="dxa"/>
            <w:vAlign w:val="center"/>
          </w:tcPr>
          <w:p>
            <w:pPr>
              <w:pStyle w:val="4"/>
              <w:keepNext w:val="0"/>
              <w:keepLines w:val="0"/>
              <w:pageBreakBefore w:val="0"/>
              <w:kinsoku/>
              <w:wordWrap/>
              <w:overflowPunct/>
              <w:topLinePunct w:val="0"/>
              <w:bidi w:val="0"/>
              <w:snapToGrid w:val="0"/>
              <w:spacing w:after="0" w:line="360" w:lineRule="auto"/>
              <w:jc w:val="center"/>
              <w:textAlignment w:val="auto"/>
              <w:rPr>
                <w:rFonts w:hint="eastAsia" w:ascii="Arial" w:hAnsi="Arial" w:eastAsia="宋体" w:cs="Arial"/>
                <w:sz w:val="24"/>
                <w:szCs w:val="24"/>
                <w:lang w:eastAsia="zh-CN"/>
              </w:rPr>
            </w:pPr>
            <w:r>
              <w:rPr>
                <w:rFonts w:hint="eastAsia" w:ascii="Arial" w:hAnsi="Arial" w:eastAsia="宋体" w:cs="Arial"/>
                <w:sz w:val="24"/>
                <w:szCs w:val="24"/>
                <w:lang w:val="en-US" w:eastAsia="zh-CN"/>
              </w:rPr>
              <w:t>5</w:t>
            </w:r>
          </w:p>
        </w:tc>
        <w:tc>
          <w:tcPr>
            <w:tcW w:w="7087" w:type="dxa"/>
            <w:vAlign w:val="center"/>
          </w:tcPr>
          <w:p>
            <w:pPr>
              <w:pStyle w:val="5"/>
              <w:keepNext w:val="0"/>
              <w:keepLines w:val="0"/>
              <w:pageBreakBefore w:val="0"/>
              <w:kinsoku/>
              <w:wordWrap/>
              <w:overflowPunct/>
              <w:topLinePunct w:val="0"/>
              <w:bidi w:val="0"/>
              <w:snapToGrid w:val="0"/>
              <w:spacing w:line="360" w:lineRule="auto"/>
              <w:ind w:left="0" w:leftChars="0" w:firstLine="0" w:firstLineChars="0"/>
              <w:textAlignment w:val="auto"/>
              <w:rPr>
                <w:rFonts w:hint="default" w:ascii="Arial" w:hAnsi="Arial" w:eastAsia="宋体" w:cs="Arial"/>
                <w:color w:val="000000"/>
                <w:spacing w:val="-6"/>
                <w:sz w:val="24"/>
                <w:szCs w:val="24"/>
              </w:rPr>
            </w:pPr>
            <w:r>
              <w:rPr>
                <w:rFonts w:hint="default" w:ascii="Arial" w:hAnsi="Arial" w:eastAsia="宋体" w:cs="Arial"/>
                <w:color w:val="000000"/>
                <w:spacing w:val="-6"/>
                <w:sz w:val="24"/>
                <w:szCs w:val="24"/>
              </w:rPr>
              <w:t>投标人提供的售后服务方案，内容包括但不限于售后服务承诺、服务保障措施、故障排除流程及维护期内外的后续技术支持和维护能力方案等内容。</w:t>
            </w:r>
          </w:p>
          <w:p>
            <w:pPr>
              <w:pStyle w:val="5"/>
              <w:keepNext w:val="0"/>
              <w:keepLines w:val="0"/>
              <w:pageBreakBefore w:val="0"/>
              <w:kinsoku/>
              <w:wordWrap/>
              <w:overflowPunct/>
              <w:topLinePunct w:val="0"/>
              <w:bidi w:val="0"/>
              <w:snapToGrid w:val="0"/>
              <w:spacing w:line="360" w:lineRule="auto"/>
              <w:ind w:left="0" w:leftChars="0" w:firstLine="0" w:firstLineChars="0"/>
              <w:textAlignment w:val="auto"/>
              <w:rPr>
                <w:rFonts w:hint="default" w:ascii="Arial" w:hAnsi="Arial" w:eastAsia="宋体" w:cs="Arial"/>
                <w:color w:val="000000"/>
                <w:spacing w:val="-6"/>
                <w:sz w:val="24"/>
                <w:szCs w:val="24"/>
              </w:rPr>
            </w:pPr>
            <w:r>
              <w:rPr>
                <w:rFonts w:hint="default" w:ascii="Arial" w:hAnsi="Arial" w:eastAsia="宋体" w:cs="Arial"/>
                <w:color w:val="000000"/>
                <w:spacing w:val="-6"/>
                <w:sz w:val="24"/>
                <w:szCs w:val="24"/>
              </w:rPr>
              <w:t>（1）方案内容完整，科学合理，且措施针对性强得</w:t>
            </w:r>
            <w:r>
              <w:rPr>
                <w:rFonts w:hint="eastAsia" w:ascii="Arial" w:hAnsi="Arial" w:eastAsia="宋体" w:cs="Arial"/>
                <w:color w:val="000000"/>
                <w:spacing w:val="-6"/>
                <w:sz w:val="24"/>
                <w:szCs w:val="24"/>
                <w:lang w:val="en-US" w:eastAsia="zh-CN"/>
              </w:rPr>
              <w:t>5</w:t>
            </w:r>
            <w:r>
              <w:rPr>
                <w:rFonts w:hint="default" w:ascii="Arial" w:hAnsi="Arial" w:eastAsia="宋体" w:cs="Arial"/>
                <w:color w:val="000000"/>
                <w:spacing w:val="-6"/>
                <w:sz w:val="24"/>
                <w:szCs w:val="24"/>
              </w:rPr>
              <w:t>分；</w:t>
            </w:r>
          </w:p>
          <w:p>
            <w:pPr>
              <w:pStyle w:val="5"/>
              <w:keepNext w:val="0"/>
              <w:keepLines w:val="0"/>
              <w:pageBreakBefore w:val="0"/>
              <w:kinsoku/>
              <w:wordWrap/>
              <w:overflowPunct/>
              <w:topLinePunct w:val="0"/>
              <w:bidi w:val="0"/>
              <w:snapToGrid w:val="0"/>
              <w:spacing w:line="360" w:lineRule="auto"/>
              <w:ind w:left="0" w:leftChars="0" w:firstLine="0" w:firstLineChars="0"/>
              <w:textAlignment w:val="auto"/>
              <w:rPr>
                <w:rFonts w:hint="default" w:ascii="Arial" w:hAnsi="Arial" w:eastAsia="宋体" w:cs="Arial"/>
                <w:color w:val="000000"/>
                <w:spacing w:val="-6"/>
                <w:sz w:val="24"/>
                <w:szCs w:val="24"/>
              </w:rPr>
            </w:pPr>
            <w:r>
              <w:rPr>
                <w:rFonts w:hint="default" w:ascii="Arial" w:hAnsi="Arial" w:eastAsia="宋体" w:cs="Arial"/>
                <w:color w:val="000000"/>
                <w:spacing w:val="-6"/>
                <w:sz w:val="24"/>
                <w:szCs w:val="24"/>
              </w:rPr>
              <w:t>（</w:t>
            </w:r>
            <w:r>
              <w:rPr>
                <w:rFonts w:hint="eastAsia" w:ascii="Arial" w:hAnsi="Arial" w:cs="Arial"/>
                <w:color w:val="000000"/>
                <w:spacing w:val="-6"/>
                <w:sz w:val="24"/>
                <w:szCs w:val="24"/>
                <w:lang w:val="en-US" w:eastAsia="zh-CN"/>
              </w:rPr>
              <w:t>2</w:t>
            </w:r>
            <w:r>
              <w:rPr>
                <w:rFonts w:hint="default" w:ascii="Arial" w:hAnsi="Arial" w:eastAsia="宋体" w:cs="Arial"/>
                <w:color w:val="000000"/>
                <w:spacing w:val="-6"/>
                <w:sz w:val="24"/>
                <w:szCs w:val="24"/>
              </w:rPr>
              <w:t>）方案内容基本完整，合理可行得</w:t>
            </w:r>
            <w:r>
              <w:rPr>
                <w:rFonts w:hint="eastAsia" w:ascii="Arial" w:hAnsi="Arial" w:eastAsia="宋体" w:cs="Arial"/>
                <w:color w:val="000000"/>
                <w:spacing w:val="-6"/>
                <w:sz w:val="24"/>
                <w:szCs w:val="24"/>
                <w:lang w:val="en-US" w:eastAsia="zh-CN"/>
              </w:rPr>
              <w:t>3</w:t>
            </w:r>
            <w:r>
              <w:rPr>
                <w:rFonts w:hint="default" w:ascii="Arial" w:hAnsi="Arial" w:eastAsia="宋体" w:cs="Arial"/>
                <w:color w:val="000000"/>
                <w:spacing w:val="-6"/>
                <w:sz w:val="24"/>
                <w:szCs w:val="24"/>
              </w:rPr>
              <w:t>分；</w:t>
            </w:r>
          </w:p>
          <w:p>
            <w:pPr>
              <w:pStyle w:val="5"/>
              <w:keepNext w:val="0"/>
              <w:keepLines w:val="0"/>
              <w:pageBreakBefore w:val="0"/>
              <w:kinsoku/>
              <w:wordWrap/>
              <w:overflowPunct/>
              <w:topLinePunct w:val="0"/>
              <w:bidi w:val="0"/>
              <w:snapToGrid w:val="0"/>
              <w:spacing w:line="360" w:lineRule="auto"/>
              <w:ind w:left="0" w:leftChars="0" w:firstLine="0" w:firstLineChars="0"/>
              <w:textAlignment w:val="auto"/>
              <w:rPr>
                <w:rFonts w:hint="default" w:ascii="Arial" w:hAnsi="Arial" w:eastAsia="宋体" w:cs="Arial"/>
                <w:color w:val="000000"/>
                <w:spacing w:val="-6"/>
                <w:sz w:val="24"/>
                <w:szCs w:val="24"/>
              </w:rPr>
            </w:pPr>
            <w:r>
              <w:rPr>
                <w:rFonts w:hint="default" w:ascii="Arial" w:hAnsi="Arial" w:eastAsia="宋体" w:cs="Arial"/>
                <w:color w:val="000000"/>
                <w:spacing w:val="-6"/>
                <w:sz w:val="24"/>
                <w:szCs w:val="24"/>
              </w:rPr>
              <w:t>（</w:t>
            </w:r>
            <w:r>
              <w:rPr>
                <w:rFonts w:hint="eastAsia" w:ascii="Arial" w:hAnsi="Arial" w:cs="Arial"/>
                <w:color w:val="000000"/>
                <w:spacing w:val="-6"/>
                <w:sz w:val="24"/>
                <w:szCs w:val="24"/>
                <w:lang w:val="en-US" w:eastAsia="zh-CN"/>
              </w:rPr>
              <w:t>3</w:t>
            </w:r>
            <w:r>
              <w:rPr>
                <w:rFonts w:hint="default" w:ascii="Arial" w:hAnsi="Arial" w:eastAsia="宋体" w:cs="Arial"/>
                <w:color w:val="000000"/>
                <w:spacing w:val="-6"/>
                <w:sz w:val="24"/>
                <w:szCs w:val="24"/>
              </w:rPr>
              <w:t>）方案内容完整性、合理性一般得1分；</w:t>
            </w:r>
          </w:p>
          <w:p>
            <w:pPr>
              <w:pStyle w:val="4"/>
              <w:keepNext w:val="0"/>
              <w:keepLines w:val="0"/>
              <w:pageBreakBefore w:val="0"/>
              <w:kinsoku/>
              <w:wordWrap/>
              <w:overflowPunct/>
              <w:topLinePunct w:val="0"/>
              <w:bidi w:val="0"/>
              <w:snapToGrid w:val="0"/>
              <w:spacing w:after="0" w:line="360" w:lineRule="auto"/>
              <w:textAlignment w:val="auto"/>
              <w:rPr>
                <w:rFonts w:hint="default" w:ascii="Arial" w:hAnsi="Arial" w:eastAsia="宋体" w:cs="Arial"/>
                <w:sz w:val="24"/>
                <w:szCs w:val="24"/>
              </w:rPr>
            </w:pPr>
            <w:r>
              <w:rPr>
                <w:rFonts w:hint="eastAsia" w:ascii="Arial" w:hAnsi="Arial" w:cs="Arial"/>
                <w:color w:val="000000"/>
                <w:spacing w:val="-6"/>
                <w:sz w:val="24"/>
                <w:szCs w:val="24"/>
                <w:lang w:eastAsia="zh-CN"/>
              </w:rPr>
              <w:t>（</w:t>
            </w:r>
            <w:r>
              <w:rPr>
                <w:rFonts w:hint="eastAsia" w:ascii="Arial" w:hAnsi="Arial" w:cs="Arial"/>
                <w:color w:val="000000"/>
                <w:spacing w:val="-6"/>
                <w:sz w:val="24"/>
                <w:szCs w:val="24"/>
                <w:lang w:val="en-US" w:eastAsia="zh-CN"/>
              </w:rPr>
              <w:t>4</w:t>
            </w:r>
            <w:r>
              <w:rPr>
                <w:rFonts w:hint="eastAsia" w:ascii="Arial" w:hAnsi="Arial" w:cs="Arial"/>
                <w:color w:val="000000"/>
                <w:spacing w:val="-6"/>
                <w:sz w:val="24"/>
                <w:szCs w:val="24"/>
                <w:lang w:eastAsia="zh-CN"/>
              </w:rPr>
              <w:t>）</w:t>
            </w:r>
            <w:r>
              <w:rPr>
                <w:rFonts w:hint="default" w:ascii="Arial" w:hAnsi="Arial" w:eastAsia="宋体" w:cs="Arial"/>
                <w:color w:val="000000"/>
                <w:spacing w:val="-6"/>
                <w:sz w:val="24"/>
                <w:szCs w:val="24"/>
              </w:rPr>
              <w:t>未提供方案得0分。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209" w:type="dxa"/>
            <w:gridSpan w:val="3"/>
            <w:vAlign w:val="center"/>
          </w:tcPr>
          <w:p>
            <w:pPr>
              <w:pStyle w:val="4"/>
              <w:keepNext w:val="0"/>
              <w:keepLines w:val="0"/>
              <w:pageBreakBefore w:val="0"/>
              <w:kinsoku/>
              <w:wordWrap/>
              <w:overflowPunct/>
              <w:topLinePunct w:val="0"/>
              <w:bidi w:val="0"/>
              <w:snapToGrid w:val="0"/>
              <w:spacing w:after="0" w:line="360" w:lineRule="auto"/>
              <w:jc w:val="left"/>
              <w:textAlignment w:val="auto"/>
              <w:rPr>
                <w:rFonts w:hint="default" w:ascii="Arial" w:hAnsi="Arial" w:eastAsia="宋体" w:cs="Arial"/>
                <w:b/>
                <w:bCs/>
                <w:sz w:val="24"/>
                <w:szCs w:val="24"/>
              </w:rPr>
            </w:pPr>
            <w:r>
              <w:rPr>
                <w:rFonts w:hint="default" w:ascii="Arial" w:hAnsi="Arial" w:eastAsia="宋体" w:cs="Arial"/>
                <w:b/>
                <w:bCs/>
                <w:sz w:val="24"/>
                <w:szCs w:val="24"/>
              </w:rPr>
              <w:t>三、商务部分（2</w:t>
            </w:r>
            <w:r>
              <w:rPr>
                <w:rFonts w:hint="eastAsia" w:ascii="Arial" w:hAnsi="Arial" w:cs="Arial"/>
                <w:b/>
                <w:bCs/>
                <w:sz w:val="24"/>
                <w:szCs w:val="24"/>
                <w:lang w:val="en-US" w:eastAsia="zh-CN"/>
              </w:rPr>
              <w:t>0</w:t>
            </w:r>
            <w:r>
              <w:rPr>
                <w:rFonts w:hint="default" w:ascii="Arial" w:hAnsi="Arial" w:eastAsia="宋体" w:cs="Arial"/>
                <w:b/>
                <w:bCs/>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70" w:type="dxa"/>
            <w:vMerge w:val="restart"/>
            <w:vAlign w:val="center"/>
          </w:tcPr>
          <w:p>
            <w:pPr>
              <w:pStyle w:val="4"/>
              <w:keepNext w:val="0"/>
              <w:keepLines w:val="0"/>
              <w:pageBreakBefore w:val="0"/>
              <w:kinsoku/>
              <w:wordWrap/>
              <w:overflowPunct/>
              <w:topLinePunct w:val="0"/>
              <w:bidi w:val="0"/>
              <w:snapToGrid w:val="0"/>
              <w:spacing w:after="0" w:line="360" w:lineRule="auto"/>
              <w:jc w:val="center"/>
              <w:textAlignment w:val="auto"/>
              <w:rPr>
                <w:rFonts w:hint="default" w:ascii="Arial" w:hAnsi="Arial" w:eastAsia="宋体" w:cs="Arial"/>
                <w:sz w:val="24"/>
                <w:szCs w:val="24"/>
              </w:rPr>
            </w:pPr>
            <w:r>
              <w:rPr>
                <w:rFonts w:hint="default" w:ascii="Arial" w:hAnsi="Arial" w:eastAsia="宋体" w:cs="Arial"/>
                <w:sz w:val="24"/>
                <w:szCs w:val="24"/>
              </w:rPr>
              <w:t>企业实力（</w:t>
            </w:r>
            <w:r>
              <w:rPr>
                <w:rFonts w:hint="eastAsia" w:ascii="Arial" w:hAnsi="Arial" w:cs="Arial"/>
                <w:sz w:val="24"/>
                <w:szCs w:val="24"/>
                <w:lang w:val="en-US" w:eastAsia="zh-CN"/>
              </w:rPr>
              <w:t>17</w:t>
            </w:r>
            <w:r>
              <w:rPr>
                <w:rFonts w:hint="default" w:ascii="Arial" w:hAnsi="Arial" w:eastAsia="宋体" w:cs="Arial"/>
                <w:sz w:val="24"/>
                <w:szCs w:val="24"/>
              </w:rPr>
              <w:t>分）</w:t>
            </w:r>
          </w:p>
        </w:tc>
        <w:tc>
          <w:tcPr>
            <w:tcW w:w="852" w:type="dxa"/>
            <w:vAlign w:val="center"/>
          </w:tcPr>
          <w:p>
            <w:pPr>
              <w:pStyle w:val="4"/>
              <w:keepNext w:val="0"/>
              <w:keepLines w:val="0"/>
              <w:pageBreakBefore w:val="0"/>
              <w:kinsoku/>
              <w:wordWrap/>
              <w:overflowPunct/>
              <w:topLinePunct w:val="0"/>
              <w:bidi w:val="0"/>
              <w:snapToGrid w:val="0"/>
              <w:spacing w:after="0" w:line="360" w:lineRule="auto"/>
              <w:jc w:val="center"/>
              <w:textAlignment w:val="auto"/>
              <w:rPr>
                <w:rFonts w:hint="default" w:ascii="Arial" w:hAnsi="Arial" w:eastAsia="宋体" w:cs="Arial"/>
                <w:sz w:val="24"/>
                <w:szCs w:val="24"/>
                <w:lang w:val="en-US" w:eastAsia="zh-CN"/>
              </w:rPr>
            </w:pPr>
            <w:r>
              <w:rPr>
                <w:rFonts w:hint="eastAsia" w:ascii="Arial" w:hAnsi="Arial" w:cs="Arial"/>
                <w:sz w:val="24"/>
                <w:szCs w:val="24"/>
                <w:lang w:val="en-US" w:eastAsia="zh-CN"/>
              </w:rPr>
              <w:t>5</w:t>
            </w:r>
          </w:p>
        </w:tc>
        <w:tc>
          <w:tcPr>
            <w:tcW w:w="7087" w:type="dxa"/>
            <w:vAlign w:val="center"/>
          </w:tcPr>
          <w:p>
            <w:pPr>
              <w:pStyle w:val="4"/>
              <w:keepNext w:val="0"/>
              <w:keepLines w:val="0"/>
              <w:pageBreakBefore w:val="0"/>
              <w:kinsoku/>
              <w:wordWrap/>
              <w:overflowPunct/>
              <w:topLinePunct w:val="0"/>
              <w:bidi w:val="0"/>
              <w:snapToGrid w:val="0"/>
              <w:spacing w:after="0" w:line="360" w:lineRule="auto"/>
              <w:textAlignment w:val="auto"/>
              <w:rPr>
                <w:rFonts w:hint="default" w:ascii="Arial" w:hAnsi="Arial" w:eastAsia="宋体" w:cs="Arial"/>
                <w:sz w:val="24"/>
                <w:szCs w:val="24"/>
              </w:rPr>
            </w:pPr>
            <w:r>
              <w:rPr>
                <w:rFonts w:hint="default" w:ascii="Arial" w:hAnsi="Arial" w:eastAsia="宋体" w:cs="Arial"/>
                <w:sz w:val="24"/>
                <w:szCs w:val="24"/>
              </w:rPr>
              <w:t>投标人软件著作权证书及安全测评报告：</w:t>
            </w:r>
          </w:p>
          <w:p>
            <w:pPr>
              <w:numPr>
                <w:ilvl w:val="0"/>
                <w:numId w:val="0"/>
              </w:numPr>
              <w:jc w:val="both"/>
              <w:rPr>
                <w:rFonts w:hint="eastAsia" w:eastAsia="宋体"/>
                <w:lang w:eastAsia="zh-CN"/>
              </w:rPr>
            </w:pPr>
            <w:r>
              <w:rPr>
                <w:rFonts w:hint="eastAsia"/>
                <w:lang w:eastAsia="zh-CN"/>
              </w:rPr>
              <w:t>（</w:t>
            </w:r>
            <w:r>
              <w:rPr>
                <w:rFonts w:hint="eastAsia"/>
                <w:lang w:val="en-US" w:eastAsia="zh-CN"/>
              </w:rPr>
              <w:t>1</w:t>
            </w:r>
            <w:r>
              <w:rPr>
                <w:rFonts w:hint="eastAsia"/>
                <w:lang w:eastAsia="zh-CN"/>
              </w:rPr>
              <w:t>）</w:t>
            </w:r>
            <w:r>
              <w:rPr>
                <w:rFonts w:hint="default" w:ascii="Arial" w:hAnsi="Arial" w:eastAsia="宋体" w:cs="Arial"/>
                <w:color w:val="auto"/>
                <w:sz w:val="24"/>
                <w:szCs w:val="24"/>
              </w:rPr>
              <w:t>具有</w:t>
            </w:r>
            <w:r>
              <w:rPr>
                <w:rFonts w:hint="eastAsia" w:ascii="Arial" w:hAnsi="Arial" w:cs="Arial"/>
                <w:color w:val="auto"/>
                <w:sz w:val="24"/>
                <w:szCs w:val="24"/>
                <w:lang w:val="en-US" w:eastAsia="zh-CN"/>
              </w:rPr>
              <w:t>DRGs院内管理系统</w:t>
            </w:r>
            <w:r>
              <w:rPr>
                <w:rFonts w:hint="default" w:ascii="Arial" w:hAnsi="Arial" w:eastAsia="宋体" w:cs="Arial"/>
                <w:color w:val="auto"/>
                <w:sz w:val="24"/>
                <w:szCs w:val="24"/>
              </w:rPr>
              <w:t>安全测评报告的得</w:t>
            </w:r>
            <w:r>
              <w:rPr>
                <w:rFonts w:hint="eastAsia" w:ascii="Arial" w:hAnsi="Arial" w:cs="Arial"/>
                <w:color w:val="auto"/>
                <w:sz w:val="24"/>
                <w:szCs w:val="24"/>
                <w:lang w:val="en-US" w:eastAsia="zh-CN"/>
              </w:rPr>
              <w:t>1</w:t>
            </w:r>
            <w:r>
              <w:rPr>
                <w:rFonts w:hint="default" w:ascii="Arial" w:hAnsi="Arial" w:eastAsia="宋体" w:cs="Arial"/>
                <w:color w:val="auto"/>
                <w:sz w:val="24"/>
                <w:szCs w:val="24"/>
              </w:rPr>
              <w:t>分，否则不得分。</w:t>
            </w:r>
          </w:p>
          <w:p>
            <w:pPr>
              <w:pStyle w:val="37"/>
              <w:keepNext w:val="0"/>
              <w:keepLines w:val="0"/>
              <w:pageBreakBefore w:val="0"/>
              <w:numPr>
                <w:ilvl w:val="0"/>
                <w:numId w:val="0"/>
              </w:numPr>
              <w:kinsoku/>
              <w:wordWrap/>
              <w:overflowPunct/>
              <w:topLinePunct w:val="0"/>
              <w:bidi w:val="0"/>
              <w:snapToGrid/>
              <w:spacing w:line="440" w:lineRule="exact"/>
              <w:ind w:leftChars="0"/>
              <w:textAlignment w:val="auto"/>
              <w:rPr>
                <w:rFonts w:hint="default"/>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具</w:t>
            </w:r>
            <w:r>
              <w:rPr>
                <w:rFonts w:hint="eastAsia" w:ascii="宋体" w:hAnsi="宋体" w:eastAsia="宋体" w:cs="宋体"/>
                <w:color w:val="auto"/>
                <w:sz w:val="24"/>
                <w:szCs w:val="24"/>
              </w:rPr>
              <w:t>有（</w:t>
            </w:r>
            <w:r>
              <w:rPr>
                <w:rFonts w:hint="eastAsia" w:ascii="宋体" w:hAnsi="宋体" w:cs="宋体"/>
                <w:color w:val="auto"/>
                <w:sz w:val="24"/>
                <w:szCs w:val="24"/>
                <w:lang w:val="en-US" w:eastAsia="zh-CN"/>
              </w:rPr>
              <w:t>医疗数据中心、</w:t>
            </w:r>
            <w:r>
              <w:rPr>
                <w:rFonts w:hint="eastAsia" w:ascii="宋体" w:hAnsi="宋体" w:eastAsia="宋体" w:cs="宋体"/>
                <w:color w:val="auto"/>
                <w:sz w:val="24"/>
                <w:szCs w:val="24"/>
              </w:rPr>
              <w:t>医生在院助手、医保DRG医院智慧运营、DRGs结算管理）软件著作权证书，每提供1个得</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分，满分</w:t>
            </w: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分。</w:t>
            </w:r>
          </w:p>
          <w:p>
            <w:pPr>
              <w:pStyle w:val="4"/>
              <w:keepNext w:val="0"/>
              <w:keepLines w:val="0"/>
              <w:pageBreakBefore w:val="0"/>
              <w:kinsoku/>
              <w:wordWrap/>
              <w:overflowPunct/>
              <w:topLinePunct w:val="0"/>
              <w:bidi w:val="0"/>
              <w:snapToGrid w:val="0"/>
              <w:spacing w:after="0" w:line="360" w:lineRule="auto"/>
              <w:textAlignment w:val="auto"/>
              <w:rPr>
                <w:rFonts w:hint="default" w:ascii="Arial" w:hAnsi="Arial" w:eastAsia="宋体" w:cs="Arial"/>
                <w:sz w:val="24"/>
                <w:szCs w:val="24"/>
              </w:rPr>
            </w:pPr>
            <w:r>
              <w:rPr>
                <w:rFonts w:hint="default" w:ascii="Arial" w:hAnsi="Arial" w:eastAsia="宋体" w:cs="Arial"/>
                <w:sz w:val="24"/>
                <w:szCs w:val="24"/>
              </w:rPr>
              <w:t>注：须提供相关证书复印件并加盖投标人公章</w:t>
            </w:r>
            <w:r>
              <w:rPr>
                <w:rFonts w:hint="eastAsia" w:ascii="Arial" w:hAnsi="Arial" w:cs="Arial"/>
                <w:sz w:val="24"/>
                <w:szCs w:val="24"/>
                <w:lang w:eastAsia="zh-CN"/>
              </w:rPr>
              <w:t>，</w:t>
            </w:r>
            <w:r>
              <w:rPr>
                <w:rFonts w:hint="default" w:ascii="Arial" w:hAnsi="Arial" w:eastAsia="宋体" w:cs="Arial"/>
                <w:sz w:val="24"/>
                <w:szCs w:val="24"/>
              </w:rPr>
              <w:t>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70" w:type="dxa"/>
            <w:vMerge w:val="continue"/>
            <w:vAlign w:val="center"/>
          </w:tcPr>
          <w:p>
            <w:pPr>
              <w:pStyle w:val="4"/>
              <w:keepNext w:val="0"/>
              <w:keepLines w:val="0"/>
              <w:pageBreakBefore w:val="0"/>
              <w:kinsoku/>
              <w:wordWrap/>
              <w:overflowPunct/>
              <w:topLinePunct w:val="0"/>
              <w:bidi w:val="0"/>
              <w:snapToGrid w:val="0"/>
              <w:spacing w:after="0" w:line="360" w:lineRule="auto"/>
              <w:jc w:val="center"/>
              <w:textAlignment w:val="auto"/>
              <w:rPr>
                <w:rFonts w:hint="default" w:ascii="Arial" w:hAnsi="Arial" w:eastAsia="宋体" w:cs="Arial"/>
                <w:sz w:val="24"/>
                <w:szCs w:val="24"/>
              </w:rPr>
            </w:pPr>
          </w:p>
        </w:tc>
        <w:tc>
          <w:tcPr>
            <w:tcW w:w="852" w:type="dxa"/>
            <w:vAlign w:val="center"/>
          </w:tcPr>
          <w:p>
            <w:pPr>
              <w:pStyle w:val="4"/>
              <w:keepNext w:val="0"/>
              <w:keepLines w:val="0"/>
              <w:pageBreakBefore w:val="0"/>
              <w:kinsoku/>
              <w:wordWrap/>
              <w:overflowPunct/>
              <w:topLinePunct w:val="0"/>
              <w:bidi w:val="0"/>
              <w:snapToGrid w:val="0"/>
              <w:spacing w:after="0" w:line="360" w:lineRule="auto"/>
              <w:jc w:val="center"/>
              <w:textAlignment w:val="auto"/>
              <w:rPr>
                <w:rFonts w:hint="default" w:ascii="Arial" w:hAnsi="Arial" w:eastAsia="宋体" w:cs="Arial"/>
                <w:sz w:val="24"/>
                <w:szCs w:val="24"/>
                <w:lang w:val="en-US" w:eastAsia="zh-CN"/>
              </w:rPr>
            </w:pPr>
            <w:r>
              <w:rPr>
                <w:rFonts w:hint="eastAsia" w:ascii="Arial" w:hAnsi="Arial" w:cs="Arial"/>
                <w:sz w:val="24"/>
                <w:szCs w:val="24"/>
                <w:lang w:val="en-US" w:eastAsia="zh-CN"/>
              </w:rPr>
              <w:t>6</w:t>
            </w:r>
          </w:p>
        </w:tc>
        <w:tc>
          <w:tcPr>
            <w:tcW w:w="7087" w:type="dxa"/>
            <w:vAlign w:val="center"/>
          </w:tcPr>
          <w:p>
            <w:pPr>
              <w:keepNext w:val="0"/>
              <w:keepLines w:val="0"/>
              <w:pageBreakBefore w:val="0"/>
              <w:kinsoku/>
              <w:wordWrap/>
              <w:overflowPunct/>
              <w:topLinePunct w:val="0"/>
              <w:bidi w:val="0"/>
              <w:spacing w:line="360" w:lineRule="auto"/>
              <w:textAlignment w:val="auto"/>
              <w:rPr>
                <w:rFonts w:hint="default" w:ascii="Arial" w:hAnsi="Arial" w:eastAsia="宋体" w:cs="Arial"/>
                <w:sz w:val="24"/>
                <w:szCs w:val="24"/>
              </w:rPr>
            </w:pPr>
            <w:r>
              <w:rPr>
                <w:rFonts w:hint="default" w:ascii="Arial" w:hAnsi="Arial" w:eastAsia="宋体" w:cs="Arial"/>
                <w:color w:val="000000"/>
                <w:spacing w:val="-6"/>
                <w:sz w:val="24"/>
                <w:szCs w:val="24"/>
              </w:rPr>
              <w:t>（</w:t>
            </w:r>
            <w:r>
              <w:rPr>
                <w:rFonts w:hint="eastAsia" w:ascii="Arial" w:hAnsi="Arial" w:cs="Arial"/>
                <w:color w:val="000000"/>
                <w:spacing w:val="-6"/>
                <w:sz w:val="24"/>
                <w:szCs w:val="24"/>
                <w:lang w:val="en-US" w:eastAsia="zh-CN"/>
              </w:rPr>
              <w:t>1</w:t>
            </w:r>
            <w:r>
              <w:rPr>
                <w:rFonts w:hint="default" w:ascii="Arial" w:hAnsi="Arial" w:eastAsia="宋体" w:cs="Arial"/>
                <w:color w:val="000000"/>
                <w:spacing w:val="-6"/>
                <w:sz w:val="24"/>
                <w:szCs w:val="24"/>
              </w:rPr>
              <w:t>）</w:t>
            </w:r>
            <w:r>
              <w:rPr>
                <w:rFonts w:hint="eastAsia" w:ascii="Arial" w:hAnsi="Arial" w:cs="Arial"/>
                <w:sz w:val="24"/>
                <w:szCs w:val="24"/>
                <w:lang w:val="en-US" w:eastAsia="zh-CN"/>
              </w:rPr>
              <w:t>投标人</w:t>
            </w:r>
            <w:r>
              <w:rPr>
                <w:rFonts w:hint="default" w:ascii="Arial" w:hAnsi="Arial" w:eastAsia="宋体" w:cs="Arial"/>
                <w:sz w:val="24"/>
                <w:szCs w:val="24"/>
              </w:rPr>
              <w:t>具有知识产权管理体系认证证书的得</w:t>
            </w:r>
            <w:r>
              <w:rPr>
                <w:rFonts w:hint="eastAsia" w:ascii="Arial" w:hAnsi="Arial" w:eastAsia="宋体" w:cs="Arial"/>
                <w:sz w:val="24"/>
                <w:szCs w:val="24"/>
                <w:lang w:val="en-US" w:eastAsia="zh-CN"/>
              </w:rPr>
              <w:t>3</w:t>
            </w:r>
            <w:r>
              <w:rPr>
                <w:rFonts w:hint="default" w:ascii="Arial" w:hAnsi="Arial" w:eastAsia="宋体" w:cs="Arial"/>
                <w:sz w:val="24"/>
                <w:szCs w:val="24"/>
              </w:rPr>
              <w:t>分，认证范围需包含“</w:t>
            </w:r>
            <w:r>
              <w:rPr>
                <w:rFonts w:hint="eastAsia" w:ascii="Arial" w:hAnsi="Arial" w:cs="Arial"/>
                <w:sz w:val="24"/>
                <w:szCs w:val="24"/>
                <w:lang w:val="en-US" w:eastAsia="zh-CN"/>
              </w:rPr>
              <w:t>医保DRG</w:t>
            </w:r>
            <w:r>
              <w:rPr>
                <w:rFonts w:hint="default" w:ascii="Arial" w:hAnsi="Arial" w:eastAsia="宋体" w:cs="Arial"/>
                <w:sz w:val="24"/>
                <w:szCs w:val="24"/>
              </w:rPr>
              <w:t>”关键字眼，否则此项不得分。</w:t>
            </w:r>
          </w:p>
          <w:p>
            <w:pPr>
              <w:keepNext w:val="0"/>
              <w:keepLines w:val="0"/>
              <w:pageBreakBefore w:val="0"/>
              <w:kinsoku/>
              <w:wordWrap/>
              <w:overflowPunct/>
              <w:topLinePunct w:val="0"/>
              <w:bidi w:val="0"/>
              <w:spacing w:line="360" w:lineRule="auto"/>
              <w:textAlignment w:val="auto"/>
              <w:rPr>
                <w:rFonts w:hint="default" w:ascii="Arial" w:hAnsi="Arial" w:eastAsia="宋体" w:cs="Arial"/>
                <w:sz w:val="24"/>
                <w:szCs w:val="24"/>
              </w:rPr>
            </w:pPr>
            <w:r>
              <w:rPr>
                <w:rFonts w:hint="default" w:ascii="Arial" w:hAnsi="Arial" w:eastAsia="宋体" w:cs="Arial"/>
                <w:color w:val="000000"/>
                <w:spacing w:val="-6"/>
                <w:sz w:val="24"/>
                <w:szCs w:val="24"/>
              </w:rPr>
              <w:t>（</w:t>
            </w:r>
            <w:r>
              <w:rPr>
                <w:rFonts w:hint="eastAsia" w:ascii="Arial" w:hAnsi="Arial" w:cs="Arial"/>
                <w:color w:val="000000"/>
                <w:spacing w:val="-6"/>
                <w:sz w:val="24"/>
                <w:szCs w:val="24"/>
                <w:lang w:val="en-US" w:eastAsia="zh-CN"/>
              </w:rPr>
              <w:t>2</w:t>
            </w:r>
            <w:r>
              <w:rPr>
                <w:rFonts w:hint="default" w:ascii="Arial" w:hAnsi="Arial" w:eastAsia="宋体" w:cs="Arial"/>
                <w:color w:val="000000"/>
                <w:spacing w:val="-6"/>
                <w:sz w:val="24"/>
                <w:szCs w:val="24"/>
              </w:rPr>
              <w:t>）</w:t>
            </w:r>
            <w:r>
              <w:rPr>
                <w:rFonts w:hint="eastAsia" w:ascii="Arial" w:hAnsi="Arial" w:cs="Arial"/>
                <w:sz w:val="24"/>
                <w:szCs w:val="24"/>
                <w:lang w:val="en-US" w:eastAsia="zh-CN"/>
              </w:rPr>
              <w:t>投标人</w:t>
            </w:r>
            <w:r>
              <w:rPr>
                <w:rFonts w:hint="default" w:ascii="Arial" w:hAnsi="Arial" w:eastAsia="宋体" w:cs="Arial"/>
                <w:sz w:val="24"/>
                <w:szCs w:val="24"/>
              </w:rPr>
              <w:t>具有信息系统安全等级保护证明（三级或以上）得</w:t>
            </w:r>
            <w:r>
              <w:rPr>
                <w:rFonts w:hint="eastAsia" w:ascii="Arial" w:hAnsi="Arial" w:cs="Arial"/>
                <w:sz w:val="24"/>
                <w:szCs w:val="24"/>
                <w:lang w:val="en-US" w:eastAsia="zh-CN"/>
              </w:rPr>
              <w:t>2</w:t>
            </w:r>
            <w:r>
              <w:rPr>
                <w:rFonts w:hint="default" w:ascii="Arial" w:hAnsi="Arial" w:eastAsia="宋体" w:cs="Arial"/>
                <w:sz w:val="24"/>
                <w:szCs w:val="24"/>
              </w:rPr>
              <w:t>分。</w:t>
            </w:r>
          </w:p>
          <w:p>
            <w:pPr>
              <w:pStyle w:val="4"/>
              <w:keepNext w:val="0"/>
              <w:keepLines w:val="0"/>
              <w:pageBreakBefore w:val="0"/>
              <w:kinsoku/>
              <w:wordWrap/>
              <w:overflowPunct/>
              <w:topLinePunct w:val="0"/>
              <w:bidi w:val="0"/>
              <w:snapToGrid w:val="0"/>
              <w:spacing w:after="0" w:line="360" w:lineRule="auto"/>
              <w:textAlignment w:val="auto"/>
              <w:rPr>
                <w:rFonts w:hint="default" w:ascii="Arial" w:hAnsi="Arial" w:eastAsia="宋体" w:cs="Arial"/>
                <w:sz w:val="24"/>
                <w:szCs w:val="24"/>
              </w:rPr>
            </w:pPr>
            <w:r>
              <w:rPr>
                <w:rFonts w:hint="eastAsia" w:asciiTheme="majorEastAsia" w:hAnsiTheme="majorEastAsia" w:eastAsiaTheme="majorEastAsia" w:cstheme="majorEastAsia"/>
                <w:sz w:val="24"/>
                <w:szCs w:val="24"/>
                <w:lang w:val="en-US" w:eastAsia="zh-CN"/>
              </w:rPr>
              <w:t>（3）投标人具有信息安全服务资质认证证书（三级或以上）的得2分。</w:t>
            </w:r>
            <w:r>
              <w:rPr>
                <w:rFonts w:hint="default" w:ascii="Arial" w:hAnsi="Arial" w:eastAsia="宋体" w:cs="Arial"/>
                <w:sz w:val="24"/>
                <w:szCs w:val="24"/>
              </w:rPr>
              <w:t>注：提供有效期内的证书复印件加盖</w:t>
            </w:r>
            <w:r>
              <w:rPr>
                <w:rFonts w:hint="eastAsia" w:ascii="Arial" w:hAnsi="Arial" w:cs="Arial"/>
                <w:sz w:val="24"/>
                <w:szCs w:val="24"/>
                <w:lang w:val="en-US" w:eastAsia="zh-CN"/>
              </w:rPr>
              <w:t>投标人</w:t>
            </w:r>
            <w:r>
              <w:rPr>
                <w:rFonts w:hint="default" w:ascii="Arial" w:hAnsi="Arial" w:eastAsia="宋体" w:cs="Arial"/>
                <w:sz w:val="24"/>
                <w:szCs w:val="24"/>
              </w:rPr>
              <w:t>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70" w:type="dxa"/>
            <w:vMerge w:val="continue"/>
            <w:vAlign w:val="center"/>
          </w:tcPr>
          <w:p>
            <w:pPr>
              <w:pStyle w:val="4"/>
              <w:keepNext w:val="0"/>
              <w:keepLines w:val="0"/>
              <w:pageBreakBefore w:val="0"/>
              <w:kinsoku/>
              <w:wordWrap/>
              <w:overflowPunct/>
              <w:topLinePunct w:val="0"/>
              <w:bidi w:val="0"/>
              <w:snapToGrid w:val="0"/>
              <w:spacing w:after="0" w:line="360" w:lineRule="auto"/>
              <w:jc w:val="center"/>
              <w:textAlignment w:val="auto"/>
              <w:rPr>
                <w:rFonts w:hint="default" w:ascii="Arial" w:hAnsi="Arial" w:eastAsia="宋体" w:cs="Arial"/>
                <w:sz w:val="24"/>
                <w:szCs w:val="24"/>
              </w:rPr>
            </w:pPr>
          </w:p>
        </w:tc>
        <w:tc>
          <w:tcPr>
            <w:tcW w:w="852" w:type="dxa"/>
            <w:vAlign w:val="center"/>
          </w:tcPr>
          <w:p>
            <w:pPr>
              <w:pStyle w:val="4"/>
              <w:keepNext w:val="0"/>
              <w:keepLines w:val="0"/>
              <w:pageBreakBefore w:val="0"/>
              <w:kinsoku/>
              <w:wordWrap/>
              <w:overflowPunct/>
              <w:topLinePunct w:val="0"/>
              <w:bidi w:val="0"/>
              <w:snapToGrid w:val="0"/>
              <w:spacing w:after="0" w:line="360" w:lineRule="auto"/>
              <w:jc w:val="center"/>
              <w:textAlignment w:val="auto"/>
              <w:rPr>
                <w:rFonts w:hint="default" w:ascii="Arial" w:hAnsi="Arial" w:eastAsia="宋体" w:cs="Arial"/>
                <w:sz w:val="24"/>
                <w:szCs w:val="24"/>
              </w:rPr>
            </w:pPr>
            <w:r>
              <w:rPr>
                <w:rFonts w:hint="default" w:ascii="Arial" w:hAnsi="Arial" w:eastAsia="宋体" w:cs="Arial"/>
                <w:sz w:val="24"/>
                <w:szCs w:val="24"/>
              </w:rPr>
              <w:t>6</w:t>
            </w:r>
          </w:p>
        </w:tc>
        <w:tc>
          <w:tcPr>
            <w:tcW w:w="7087" w:type="dxa"/>
            <w:vAlign w:val="center"/>
          </w:tcPr>
          <w:p>
            <w:pPr>
              <w:pStyle w:val="4"/>
              <w:keepNext w:val="0"/>
              <w:keepLines w:val="0"/>
              <w:pageBreakBefore w:val="0"/>
              <w:kinsoku/>
              <w:wordWrap/>
              <w:overflowPunct/>
              <w:topLinePunct w:val="0"/>
              <w:bidi w:val="0"/>
              <w:snapToGrid w:val="0"/>
              <w:spacing w:after="0" w:line="360" w:lineRule="auto"/>
              <w:textAlignment w:val="auto"/>
              <w:rPr>
                <w:rFonts w:hint="default" w:ascii="Arial" w:hAnsi="Arial" w:eastAsia="宋体" w:cs="Arial"/>
                <w:sz w:val="24"/>
                <w:szCs w:val="24"/>
              </w:rPr>
            </w:pPr>
            <w:r>
              <w:rPr>
                <w:rFonts w:hint="default" w:ascii="Arial" w:hAnsi="Arial" w:eastAsia="宋体" w:cs="Arial"/>
                <w:sz w:val="24"/>
                <w:szCs w:val="24"/>
              </w:rPr>
              <w:t>投标人投标产品数据库兼容性认证：</w:t>
            </w:r>
          </w:p>
          <w:p>
            <w:pPr>
              <w:pStyle w:val="4"/>
              <w:keepNext w:val="0"/>
              <w:keepLines w:val="0"/>
              <w:pageBreakBefore w:val="0"/>
              <w:kinsoku/>
              <w:wordWrap/>
              <w:overflowPunct/>
              <w:topLinePunct w:val="0"/>
              <w:bidi w:val="0"/>
              <w:snapToGrid w:val="0"/>
              <w:spacing w:after="0" w:line="360" w:lineRule="auto"/>
              <w:textAlignment w:val="auto"/>
              <w:rPr>
                <w:rFonts w:hint="default" w:ascii="Arial" w:hAnsi="Arial" w:eastAsia="宋体" w:cs="Arial"/>
                <w:sz w:val="24"/>
                <w:szCs w:val="24"/>
              </w:rPr>
            </w:pPr>
            <w:r>
              <w:rPr>
                <w:rFonts w:hint="default" w:ascii="Arial" w:hAnsi="Arial" w:eastAsia="宋体" w:cs="Arial"/>
                <w:sz w:val="24"/>
                <w:szCs w:val="24"/>
                <w:lang w:val="en-US" w:eastAsia="zh-CN"/>
              </w:rPr>
              <w:t>1、</w:t>
            </w:r>
            <w:r>
              <w:rPr>
                <w:rFonts w:hint="default" w:ascii="Arial" w:hAnsi="Arial" w:eastAsia="宋体" w:cs="Arial"/>
                <w:sz w:val="24"/>
                <w:szCs w:val="24"/>
              </w:rPr>
              <w:t>投标人所提供的产品具有国产化服务器兼容性互认证书的得</w:t>
            </w:r>
            <w:r>
              <w:rPr>
                <w:rFonts w:hint="eastAsia" w:ascii="Arial" w:hAnsi="Arial" w:cs="Arial"/>
                <w:sz w:val="24"/>
                <w:szCs w:val="24"/>
                <w:lang w:val="en-US" w:eastAsia="zh-CN"/>
              </w:rPr>
              <w:t>2</w:t>
            </w:r>
            <w:r>
              <w:rPr>
                <w:rFonts w:hint="default" w:ascii="Arial" w:hAnsi="Arial" w:eastAsia="宋体" w:cs="Arial"/>
                <w:sz w:val="24"/>
                <w:szCs w:val="24"/>
              </w:rPr>
              <w:t>分，须提供证书复印件并加盖投标人公章，未提供不得分。</w:t>
            </w:r>
          </w:p>
          <w:p>
            <w:pPr>
              <w:pStyle w:val="4"/>
              <w:keepNext w:val="0"/>
              <w:keepLines w:val="0"/>
              <w:pageBreakBefore w:val="0"/>
              <w:kinsoku/>
              <w:wordWrap/>
              <w:overflowPunct/>
              <w:topLinePunct w:val="0"/>
              <w:bidi w:val="0"/>
              <w:snapToGrid w:val="0"/>
              <w:spacing w:after="0" w:line="360" w:lineRule="auto"/>
              <w:textAlignment w:val="auto"/>
              <w:rPr>
                <w:rFonts w:hint="default" w:ascii="Arial" w:hAnsi="Arial" w:eastAsia="宋体" w:cs="Arial"/>
                <w:sz w:val="24"/>
                <w:szCs w:val="24"/>
                <w:lang w:val="en-US" w:eastAsia="zh-CN"/>
              </w:rPr>
            </w:pPr>
            <w:r>
              <w:rPr>
                <w:rFonts w:hint="default" w:ascii="Arial" w:hAnsi="Arial" w:eastAsia="宋体" w:cs="Arial"/>
                <w:sz w:val="24"/>
                <w:szCs w:val="24"/>
                <w:lang w:val="en-US" w:eastAsia="zh-CN"/>
              </w:rPr>
              <w:t>2、</w:t>
            </w:r>
            <w:r>
              <w:rPr>
                <w:rFonts w:hint="default" w:ascii="Arial" w:hAnsi="Arial" w:eastAsia="宋体" w:cs="Arial"/>
                <w:sz w:val="24"/>
                <w:szCs w:val="24"/>
              </w:rPr>
              <w:t>投标人所提供的产品具有国产化操作系统兼容性互认证书的得</w:t>
            </w:r>
            <w:r>
              <w:rPr>
                <w:rFonts w:hint="eastAsia" w:ascii="Arial" w:hAnsi="Arial" w:cs="Arial"/>
                <w:sz w:val="24"/>
                <w:szCs w:val="24"/>
                <w:lang w:val="en-US" w:eastAsia="zh-CN"/>
              </w:rPr>
              <w:t>2</w:t>
            </w:r>
            <w:r>
              <w:rPr>
                <w:rFonts w:hint="default" w:ascii="Arial" w:hAnsi="Arial" w:eastAsia="宋体" w:cs="Arial"/>
                <w:sz w:val="24"/>
                <w:szCs w:val="24"/>
              </w:rPr>
              <w:t>分，须提供证书复印件并加盖投标人公章，未提供不得分。</w:t>
            </w:r>
          </w:p>
          <w:p>
            <w:pPr>
              <w:pStyle w:val="4"/>
              <w:keepNext w:val="0"/>
              <w:keepLines w:val="0"/>
              <w:pageBreakBefore w:val="0"/>
              <w:kinsoku/>
              <w:wordWrap/>
              <w:overflowPunct/>
              <w:topLinePunct w:val="0"/>
              <w:bidi w:val="0"/>
              <w:snapToGrid w:val="0"/>
              <w:spacing w:after="0" w:line="360" w:lineRule="auto"/>
              <w:textAlignment w:val="auto"/>
              <w:rPr>
                <w:rFonts w:hint="default" w:ascii="Arial" w:hAnsi="Arial" w:eastAsia="宋体" w:cs="Arial"/>
                <w:sz w:val="24"/>
                <w:szCs w:val="24"/>
              </w:rPr>
            </w:pPr>
            <w:r>
              <w:rPr>
                <w:rFonts w:hint="default" w:ascii="Arial" w:hAnsi="Arial" w:eastAsia="宋体" w:cs="Arial"/>
                <w:sz w:val="24"/>
                <w:szCs w:val="24"/>
                <w:lang w:val="en-US" w:eastAsia="zh-CN"/>
              </w:rPr>
              <w:t>3、</w:t>
            </w:r>
            <w:r>
              <w:rPr>
                <w:rFonts w:hint="default" w:ascii="Arial" w:hAnsi="Arial" w:eastAsia="宋体" w:cs="Arial"/>
                <w:sz w:val="24"/>
                <w:szCs w:val="24"/>
              </w:rPr>
              <w:t>投标人所提供的产品具有国产化数据库兼容性互认证书的得</w:t>
            </w:r>
            <w:r>
              <w:rPr>
                <w:rFonts w:hint="eastAsia" w:ascii="Arial" w:hAnsi="Arial" w:cs="Arial"/>
                <w:sz w:val="24"/>
                <w:szCs w:val="24"/>
                <w:lang w:val="en-US" w:eastAsia="zh-CN"/>
              </w:rPr>
              <w:t>2</w:t>
            </w:r>
            <w:r>
              <w:rPr>
                <w:rFonts w:hint="default" w:ascii="Arial" w:hAnsi="Arial" w:eastAsia="宋体" w:cs="Arial"/>
                <w:sz w:val="24"/>
                <w:szCs w:val="24"/>
              </w:rPr>
              <w:t>分，须提供证书复印件并加盖投标人公章，未提供不得分。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270" w:type="dxa"/>
            <w:vAlign w:val="center"/>
          </w:tcPr>
          <w:p>
            <w:pPr>
              <w:pStyle w:val="4"/>
              <w:keepNext w:val="0"/>
              <w:keepLines w:val="0"/>
              <w:pageBreakBefore w:val="0"/>
              <w:kinsoku/>
              <w:wordWrap/>
              <w:overflowPunct/>
              <w:topLinePunct w:val="0"/>
              <w:bidi w:val="0"/>
              <w:snapToGrid w:val="0"/>
              <w:spacing w:after="0" w:line="360" w:lineRule="auto"/>
              <w:jc w:val="center"/>
              <w:textAlignment w:val="auto"/>
              <w:rPr>
                <w:rFonts w:hint="default" w:ascii="Arial" w:hAnsi="Arial" w:eastAsia="宋体" w:cs="Arial"/>
                <w:sz w:val="24"/>
                <w:szCs w:val="24"/>
              </w:rPr>
            </w:pPr>
            <w:r>
              <w:rPr>
                <w:rFonts w:hint="default" w:ascii="Arial" w:hAnsi="Arial" w:eastAsia="宋体" w:cs="Arial"/>
                <w:sz w:val="24"/>
                <w:szCs w:val="24"/>
              </w:rPr>
              <w:t>同类项目业绩（</w:t>
            </w:r>
            <w:r>
              <w:rPr>
                <w:rFonts w:hint="eastAsia" w:ascii="Arial" w:hAnsi="Arial" w:cs="Arial"/>
                <w:sz w:val="24"/>
                <w:szCs w:val="24"/>
                <w:lang w:val="en-US" w:eastAsia="zh-CN"/>
              </w:rPr>
              <w:t>3</w:t>
            </w:r>
            <w:r>
              <w:rPr>
                <w:rFonts w:hint="default" w:ascii="Arial" w:hAnsi="Arial" w:eastAsia="宋体" w:cs="Arial"/>
                <w:sz w:val="24"/>
                <w:szCs w:val="24"/>
              </w:rPr>
              <w:t>分）</w:t>
            </w:r>
          </w:p>
        </w:tc>
        <w:tc>
          <w:tcPr>
            <w:tcW w:w="852" w:type="dxa"/>
            <w:vAlign w:val="center"/>
          </w:tcPr>
          <w:p>
            <w:pPr>
              <w:pStyle w:val="4"/>
              <w:keepNext w:val="0"/>
              <w:keepLines w:val="0"/>
              <w:pageBreakBefore w:val="0"/>
              <w:kinsoku/>
              <w:wordWrap/>
              <w:overflowPunct/>
              <w:topLinePunct w:val="0"/>
              <w:bidi w:val="0"/>
              <w:snapToGrid w:val="0"/>
              <w:spacing w:after="0" w:line="360" w:lineRule="auto"/>
              <w:jc w:val="center"/>
              <w:textAlignment w:val="auto"/>
              <w:rPr>
                <w:rFonts w:hint="default" w:ascii="Arial" w:hAnsi="Arial" w:eastAsia="宋体" w:cs="Arial"/>
                <w:sz w:val="24"/>
                <w:szCs w:val="24"/>
                <w:lang w:eastAsia="zh-CN"/>
              </w:rPr>
            </w:pPr>
            <w:r>
              <w:rPr>
                <w:rFonts w:hint="eastAsia" w:ascii="Arial" w:hAnsi="Arial" w:cs="Arial"/>
                <w:sz w:val="24"/>
                <w:szCs w:val="24"/>
                <w:lang w:val="en-US" w:eastAsia="zh-CN"/>
              </w:rPr>
              <w:t>3</w:t>
            </w:r>
          </w:p>
        </w:tc>
        <w:tc>
          <w:tcPr>
            <w:tcW w:w="7087" w:type="dxa"/>
            <w:vAlign w:val="center"/>
          </w:tcPr>
          <w:p>
            <w:pPr>
              <w:pStyle w:val="40"/>
              <w:keepNext w:val="0"/>
              <w:keepLines w:val="0"/>
              <w:pageBreakBefore w:val="0"/>
              <w:kinsoku/>
              <w:wordWrap/>
              <w:overflowPunct/>
              <w:topLinePunct w:val="0"/>
              <w:bidi w:val="0"/>
              <w:spacing w:line="360" w:lineRule="auto"/>
              <w:textAlignment w:val="auto"/>
              <w:rPr>
                <w:rFonts w:hint="default" w:ascii="Arial" w:hAnsi="Arial" w:eastAsia="宋体" w:cs="Arial"/>
                <w:color w:val="auto"/>
                <w:sz w:val="24"/>
                <w:szCs w:val="24"/>
              </w:rPr>
            </w:pPr>
            <w:r>
              <w:rPr>
                <w:rFonts w:hint="default" w:ascii="Arial" w:hAnsi="Arial" w:eastAsia="宋体" w:cs="Arial"/>
                <w:color w:val="auto"/>
                <w:sz w:val="24"/>
                <w:szCs w:val="24"/>
              </w:rPr>
              <w:t>提供2021年1月1日以来投标人公立医院相关同类</w:t>
            </w:r>
            <w:r>
              <w:rPr>
                <w:rFonts w:hint="eastAsia" w:ascii="宋体" w:hAnsi="宋体" w:cs="宋体"/>
                <w:kern w:val="0"/>
                <w:sz w:val="24"/>
                <w:lang w:eastAsia="zh-CN"/>
              </w:rPr>
              <w:t>（</w:t>
            </w:r>
            <w:r>
              <w:rPr>
                <w:rFonts w:hint="default" w:hAnsi="宋体"/>
                <w:spacing w:val="-4"/>
                <w:sz w:val="24"/>
                <w:szCs w:val="24"/>
                <w:lang w:val="en-US" w:eastAsia="zh-CN"/>
              </w:rPr>
              <w:t>医保DRG</w:t>
            </w:r>
            <w:r>
              <w:rPr>
                <w:rFonts w:hint="eastAsia" w:hAnsi="宋体"/>
                <w:spacing w:val="-4"/>
                <w:sz w:val="24"/>
                <w:szCs w:val="24"/>
                <w:lang w:val="en-US" w:eastAsia="zh-CN"/>
              </w:rPr>
              <w:t>）</w:t>
            </w:r>
            <w:r>
              <w:rPr>
                <w:rFonts w:hint="default" w:ascii="Arial" w:hAnsi="Arial" w:eastAsia="宋体" w:cs="Arial"/>
                <w:color w:val="auto"/>
                <w:sz w:val="24"/>
                <w:szCs w:val="24"/>
              </w:rPr>
              <w:t>业绩案例证明资料。提供项目中标通知书、合同复印件</w:t>
            </w:r>
            <w:r>
              <w:rPr>
                <w:rFonts w:hint="eastAsia" w:ascii="Arial" w:hAnsi="Arial" w:cs="Arial"/>
                <w:color w:val="auto"/>
                <w:sz w:val="24"/>
                <w:szCs w:val="24"/>
                <w:lang w:eastAsia="zh-CN"/>
              </w:rPr>
              <w:t>、</w:t>
            </w:r>
            <w:r>
              <w:rPr>
                <w:rFonts w:hint="eastAsia" w:ascii="Arial" w:hAnsi="Arial" w:cs="Arial"/>
                <w:color w:val="auto"/>
                <w:sz w:val="24"/>
                <w:szCs w:val="24"/>
                <w:lang w:val="en-US" w:eastAsia="zh-CN"/>
              </w:rPr>
              <w:t>验收报告</w:t>
            </w:r>
            <w:r>
              <w:rPr>
                <w:rFonts w:hint="default" w:ascii="Arial" w:hAnsi="Arial" w:eastAsia="宋体" w:cs="Arial"/>
                <w:color w:val="auto"/>
                <w:sz w:val="24"/>
                <w:szCs w:val="24"/>
              </w:rPr>
              <w:t>，每提供1家医院案例证明资料得1分，最多得</w:t>
            </w:r>
            <w:r>
              <w:rPr>
                <w:rFonts w:hint="eastAsia" w:ascii="Arial" w:hAnsi="Arial" w:cs="Arial"/>
                <w:color w:val="auto"/>
                <w:sz w:val="24"/>
                <w:szCs w:val="24"/>
                <w:lang w:val="en-US" w:eastAsia="zh-CN"/>
              </w:rPr>
              <w:t>3</w:t>
            </w:r>
            <w:r>
              <w:rPr>
                <w:rFonts w:hint="default" w:ascii="Arial" w:hAnsi="Arial" w:eastAsia="宋体" w:cs="Arial"/>
                <w:color w:val="auto"/>
                <w:sz w:val="24"/>
                <w:szCs w:val="24"/>
              </w:rPr>
              <w:t>分。</w:t>
            </w:r>
          </w:p>
        </w:tc>
      </w:tr>
    </w:tbl>
    <w:p>
      <w:pPr>
        <w:rPr>
          <w:rFonts w:hint="eastAsia" w:cs="宋体" w:asciiTheme="minorEastAsia" w:hAnsiTheme="minorEastAsia" w:eastAsiaTheme="minorEastAsia"/>
          <w:sz w:val="22"/>
          <w:szCs w:val="24"/>
        </w:rPr>
      </w:pPr>
    </w:p>
    <w:p>
      <w:pPr>
        <w:spacing w:line="360" w:lineRule="auto"/>
        <w:ind w:firstLine="420" w:firstLineChars="200"/>
        <w:rPr>
          <w:rFonts w:hint="eastAsia" w:ascii="宋体" w:hAnsi="宋体" w:eastAsia="宋体" w:cs="宋体"/>
          <w:color w:val="555555"/>
          <w:kern w:val="0"/>
          <w:szCs w:val="21"/>
        </w:rPr>
      </w:pPr>
    </w:p>
    <w:p>
      <w:pPr>
        <w:spacing w:line="360" w:lineRule="auto"/>
        <w:rPr>
          <w:rFonts w:ascii="宋体" w:hAnsi="宋体"/>
          <w:b/>
          <w:bCs/>
          <w:sz w:val="24"/>
        </w:rPr>
      </w:pPr>
      <w:bookmarkStart w:id="24" w:name="_Toc397588738"/>
      <w:bookmarkStart w:id="25" w:name="_Toc396115164"/>
      <w:r>
        <w:rPr>
          <w:rFonts w:hint="eastAsia" w:ascii="宋体" w:hAnsi="宋体"/>
          <w:b/>
          <w:bCs/>
          <w:sz w:val="24"/>
        </w:rPr>
        <w:t>五、合同授予</w:t>
      </w:r>
      <w:bookmarkEnd w:id="24"/>
      <w:bookmarkEnd w:id="25"/>
    </w:p>
    <w:p>
      <w:pPr>
        <w:spacing w:line="360" w:lineRule="auto"/>
        <w:ind w:firstLine="420" w:firstLineChars="200"/>
        <w:rPr>
          <w:rFonts w:ascii="宋体" w:hAnsi="宋体" w:eastAsia="宋体" w:cs="宋体"/>
          <w:color w:val="555555"/>
          <w:kern w:val="0"/>
          <w:szCs w:val="21"/>
        </w:rPr>
      </w:pPr>
      <w:r>
        <w:rPr>
          <w:rFonts w:hint="eastAsia" w:ascii="宋体" w:hAnsi="宋体" w:eastAsia="宋体" w:cs="宋体"/>
          <w:color w:val="555555"/>
          <w:kern w:val="0"/>
          <w:szCs w:val="21"/>
        </w:rPr>
        <w:t>（一）签订合同</w:t>
      </w:r>
    </w:p>
    <w:p>
      <w:pPr>
        <w:spacing w:line="360" w:lineRule="auto"/>
        <w:ind w:firstLine="420" w:firstLineChars="200"/>
        <w:rPr>
          <w:rFonts w:ascii="宋体" w:hAnsi="宋体" w:eastAsia="宋体" w:cs="宋体"/>
          <w:color w:val="555555"/>
          <w:kern w:val="0"/>
          <w:szCs w:val="21"/>
        </w:rPr>
      </w:pPr>
      <w:r>
        <w:rPr>
          <w:rFonts w:ascii="宋体" w:hAnsi="宋体" w:eastAsia="宋体" w:cs="宋体"/>
          <w:color w:val="555555"/>
          <w:kern w:val="0"/>
          <w:szCs w:val="21"/>
        </w:rPr>
        <w:t>1</w:t>
      </w:r>
      <w:r>
        <w:rPr>
          <w:rFonts w:hint="eastAsia" w:ascii="宋体" w:hAnsi="宋体" w:eastAsia="宋体" w:cs="宋体"/>
          <w:color w:val="555555"/>
          <w:kern w:val="0"/>
          <w:szCs w:val="21"/>
        </w:rPr>
        <w:t>.招标人与</w:t>
      </w:r>
      <w:r>
        <w:rPr>
          <w:rFonts w:ascii="宋体" w:hAnsi="宋体" w:eastAsia="宋体" w:cs="宋体"/>
          <w:color w:val="555555"/>
          <w:kern w:val="0"/>
          <w:szCs w:val="21"/>
        </w:rPr>
        <w:t>中标人应</w:t>
      </w:r>
      <w:r>
        <w:rPr>
          <w:rFonts w:hint="eastAsia" w:ascii="宋体" w:hAnsi="宋体" w:eastAsia="宋体" w:cs="宋体"/>
          <w:color w:val="555555"/>
          <w:kern w:val="0"/>
          <w:szCs w:val="21"/>
        </w:rPr>
        <w:t>当在《</w:t>
      </w:r>
      <w:r>
        <w:rPr>
          <w:rFonts w:ascii="宋体" w:hAnsi="宋体" w:eastAsia="宋体" w:cs="宋体"/>
          <w:color w:val="555555"/>
          <w:kern w:val="0"/>
          <w:szCs w:val="21"/>
        </w:rPr>
        <w:t>中标通知书</w:t>
      </w:r>
      <w:r>
        <w:rPr>
          <w:rFonts w:hint="eastAsia" w:ascii="宋体" w:hAnsi="宋体" w:eastAsia="宋体" w:cs="宋体"/>
          <w:color w:val="555555"/>
          <w:kern w:val="0"/>
          <w:szCs w:val="21"/>
        </w:rPr>
        <w:t>》发出之日起30日内签订合同。</w:t>
      </w:r>
    </w:p>
    <w:p>
      <w:pPr>
        <w:spacing w:line="360" w:lineRule="auto"/>
        <w:ind w:firstLine="420" w:firstLineChars="200"/>
        <w:rPr>
          <w:rFonts w:ascii="宋体" w:hAnsi="宋体" w:eastAsia="宋体" w:cs="宋体"/>
          <w:color w:val="555555"/>
          <w:kern w:val="0"/>
          <w:szCs w:val="21"/>
        </w:rPr>
      </w:pPr>
      <w:r>
        <w:rPr>
          <w:rFonts w:ascii="宋体" w:hAnsi="宋体" w:eastAsia="宋体" w:cs="宋体"/>
          <w:color w:val="555555"/>
          <w:kern w:val="0"/>
          <w:szCs w:val="21"/>
        </w:rPr>
        <w:t>2</w:t>
      </w:r>
      <w:r>
        <w:rPr>
          <w:rFonts w:hint="eastAsia" w:ascii="宋体" w:hAnsi="宋体" w:eastAsia="宋体" w:cs="宋体"/>
          <w:color w:val="555555"/>
          <w:kern w:val="0"/>
          <w:szCs w:val="21"/>
        </w:rPr>
        <w:t>.</w:t>
      </w:r>
      <w:r>
        <w:rPr>
          <w:rFonts w:ascii="宋体" w:hAnsi="宋体" w:eastAsia="宋体" w:cs="宋体"/>
          <w:color w:val="555555"/>
          <w:kern w:val="0"/>
          <w:szCs w:val="21"/>
        </w:rPr>
        <w:t>中标人拖延、拒签合同的,将被取消中标资格。</w:t>
      </w:r>
    </w:p>
    <w:p>
      <w:pPr>
        <w:widowControl/>
        <w:spacing w:line="288" w:lineRule="atLeast"/>
        <w:jc w:val="left"/>
        <w:rPr>
          <w:rFonts w:ascii="微软雅黑" w:hAnsi="微软雅黑" w:eastAsia="微软雅黑" w:cs="宋体"/>
          <w:color w:val="555555"/>
          <w:kern w:val="0"/>
          <w:sz w:val="19"/>
          <w:szCs w:val="19"/>
        </w:rPr>
      </w:pPr>
    </w:p>
    <w:p>
      <w:pPr>
        <w:widowControl/>
        <w:spacing w:line="288" w:lineRule="atLeast"/>
        <w:jc w:val="left"/>
        <w:rPr>
          <w:rFonts w:ascii="微软雅黑" w:hAnsi="微软雅黑" w:eastAsia="微软雅黑" w:cs="宋体"/>
          <w:color w:val="555555"/>
          <w:kern w:val="0"/>
          <w:sz w:val="19"/>
          <w:szCs w:val="19"/>
        </w:rPr>
      </w:pPr>
    </w:p>
    <w:p>
      <w:pPr>
        <w:widowControl/>
        <w:spacing w:line="288" w:lineRule="atLeast"/>
        <w:jc w:val="left"/>
        <w:rPr>
          <w:rFonts w:ascii="微软雅黑" w:hAnsi="微软雅黑" w:eastAsia="微软雅黑" w:cs="宋体"/>
          <w:color w:val="555555"/>
          <w:kern w:val="0"/>
          <w:sz w:val="19"/>
          <w:szCs w:val="19"/>
        </w:rPr>
      </w:pPr>
    </w:p>
    <w:p>
      <w:pPr>
        <w:widowControl/>
        <w:spacing w:line="288" w:lineRule="atLeast"/>
        <w:jc w:val="left"/>
        <w:rPr>
          <w:rFonts w:ascii="微软雅黑" w:hAnsi="微软雅黑" w:eastAsia="微软雅黑" w:cs="宋体"/>
          <w:color w:val="555555"/>
          <w:kern w:val="0"/>
          <w:sz w:val="19"/>
          <w:szCs w:val="19"/>
        </w:rPr>
      </w:pPr>
    </w:p>
    <w:p>
      <w:pPr>
        <w:widowControl/>
        <w:spacing w:line="288" w:lineRule="atLeast"/>
        <w:jc w:val="left"/>
        <w:rPr>
          <w:rFonts w:ascii="微软雅黑" w:hAnsi="微软雅黑" w:eastAsia="微软雅黑" w:cs="宋体"/>
          <w:color w:val="555555"/>
          <w:kern w:val="0"/>
          <w:sz w:val="19"/>
          <w:szCs w:val="19"/>
        </w:rPr>
      </w:pPr>
    </w:p>
    <w:p>
      <w:pPr>
        <w:widowControl/>
        <w:spacing w:line="288" w:lineRule="atLeast"/>
        <w:jc w:val="left"/>
        <w:rPr>
          <w:rFonts w:ascii="微软雅黑" w:hAnsi="微软雅黑" w:eastAsia="微软雅黑" w:cs="宋体"/>
          <w:color w:val="555555"/>
          <w:kern w:val="0"/>
          <w:sz w:val="19"/>
          <w:szCs w:val="19"/>
        </w:rPr>
      </w:pPr>
    </w:p>
    <w:p>
      <w:pPr>
        <w:widowControl/>
        <w:spacing w:line="288" w:lineRule="atLeast"/>
        <w:jc w:val="left"/>
        <w:rPr>
          <w:rFonts w:ascii="微软雅黑" w:hAnsi="微软雅黑" w:eastAsia="微软雅黑" w:cs="宋体"/>
          <w:color w:val="555555"/>
          <w:kern w:val="0"/>
          <w:sz w:val="19"/>
          <w:szCs w:val="19"/>
        </w:rPr>
      </w:pPr>
    </w:p>
    <w:p>
      <w:pPr>
        <w:widowControl/>
        <w:spacing w:line="288" w:lineRule="atLeast"/>
        <w:jc w:val="left"/>
        <w:rPr>
          <w:rFonts w:ascii="微软雅黑" w:hAnsi="微软雅黑" w:eastAsia="微软雅黑" w:cs="宋体"/>
          <w:color w:val="555555"/>
          <w:kern w:val="0"/>
          <w:sz w:val="19"/>
          <w:szCs w:val="19"/>
        </w:rPr>
      </w:pPr>
    </w:p>
    <w:p>
      <w:pPr>
        <w:widowControl/>
        <w:spacing w:line="288" w:lineRule="atLeast"/>
        <w:jc w:val="left"/>
        <w:rPr>
          <w:rFonts w:ascii="微软雅黑" w:hAnsi="微软雅黑" w:eastAsia="微软雅黑" w:cs="宋体"/>
          <w:color w:val="555555"/>
          <w:kern w:val="0"/>
          <w:sz w:val="19"/>
          <w:szCs w:val="19"/>
        </w:rPr>
      </w:pPr>
    </w:p>
    <w:p>
      <w:pPr>
        <w:widowControl/>
        <w:spacing w:line="288" w:lineRule="atLeast"/>
        <w:jc w:val="left"/>
        <w:rPr>
          <w:rFonts w:ascii="微软雅黑" w:hAnsi="微软雅黑" w:eastAsia="微软雅黑" w:cs="宋体"/>
          <w:color w:val="555555"/>
          <w:kern w:val="0"/>
          <w:sz w:val="19"/>
          <w:szCs w:val="19"/>
        </w:rPr>
      </w:pPr>
    </w:p>
    <w:p>
      <w:pPr>
        <w:widowControl/>
        <w:spacing w:line="288" w:lineRule="atLeast"/>
        <w:jc w:val="left"/>
        <w:rPr>
          <w:rFonts w:ascii="微软雅黑" w:hAnsi="微软雅黑" w:eastAsia="微软雅黑" w:cs="宋体"/>
          <w:color w:val="555555"/>
          <w:kern w:val="0"/>
          <w:sz w:val="19"/>
          <w:szCs w:val="19"/>
        </w:rPr>
      </w:pPr>
    </w:p>
    <w:p>
      <w:pPr>
        <w:widowControl/>
        <w:spacing w:line="288" w:lineRule="atLeast"/>
        <w:jc w:val="left"/>
        <w:rPr>
          <w:rFonts w:ascii="微软雅黑" w:hAnsi="微软雅黑" w:eastAsia="微软雅黑" w:cs="宋体"/>
          <w:color w:val="555555"/>
          <w:kern w:val="0"/>
          <w:sz w:val="19"/>
          <w:szCs w:val="19"/>
        </w:rPr>
      </w:pPr>
    </w:p>
    <w:p/>
    <w:p>
      <w:pPr>
        <w:pStyle w:val="8"/>
        <w:tabs>
          <w:tab w:val="left" w:pos="2472"/>
        </w:tabs>
        <w:snapToGrid w:val="0"/>
        <w:spacing w:before="120" w:after="120" w:line="360" w:lineRule="auto"/>
        <w:jc w:val="center"/>
        <w:rPr>
          <w:b/>
          <w:bCs/>
          <w:color w:val="000000"/>
          <w:sz w:val="28"/>
          <w:szCs w:val="28"/>
        </w:rPr>
      </w:pPr>
      <w:r>
        <w:rPr>
          <w:b/>
          <w:bCs/>
          <w:color w:val="000000"/>
        </w:rPr>
        <w:t>第</w:t>
      </w:r>
      <w:r>
        <w:rPr>
          <w:rFonts w:hint="eastAsia"/>
          <w:b/>
          <w:bCs/>
          <w:color w:val="000000"/>
        </w:rPr>
        <w:t>五</w:t>
      </w:r>
      <w:r>
        <w:rPr>
          <w:b/>
          <w:bCs/>
          <w:color w:val="000000"/>
        </w:rPr>
        <w:t>章</w:t>
      </w:r>
      <w:r>
        <w:rPr>
          <w:rFonts w:hint="eastAsia"/>
          <w:b/>
          <w:bCs/>
          <w:color w:val="000000"/>
          <w:sz w:val="28"/>
          <w:szCs w:val="28"/>
        </w:rPr>
        <w:t>投标文件格式</w:t>
      </w:r>
    </w:p>
    <w:p>
      <w:pPr>
        <w:snapToGrid w:val="0"/>
        <w:spacing w:beforeLines="50" w:after="50" w:line="360" w:lineRule="auto"/>
        <w:rPr>
          <w:rFonts w:ascii="宋体" w:hAnsi="宋体"/>
          <w:b/>
          <w:sz w:val="24"/>
        </w:rPr>
      </w:pPr>
      <w:r>
        <w:rPr>
          <w:rFonts w:ascii="宋体" w:hAnsi="宋体"/>
          <w:b/>
          <w:sz w:val="24"/>
        </w:rPr>
        <w:t>1</w:t>
      </w:r>
      <w:r>
        <w:rPr>
          <w:rFonts w:hint="eastAsia" w:ascii="宋体" w:hAnsi="宋体"/>
          <w:b/>
          <w:sz w:val="24"/>
        </w:rPr>
        <w:t>、投标文件的外包装封面及投标文件封面格式：</w:t>
      </w:r>
    </w:p>
    <w:p>
      <w:pPr>
        <w:snapToGrid w:val="0"/>
        <w:spacing w:beforeLines="50" w:after="50" w:line="360" w:lineRule="auto"/>
        <w:ind w:firstLine="236" w:firstLineChars="98"/>
        <w:rPr>
          <w:rFonts w:ascii="宋体" w:hAnsi="宋体"/>
          <w:b/>
          <w:bCs/>
          <w:sz w:val="24"/>
        </w:rPr>
      </w:pPr>
      <w:r>
        <w:rPr>
          <w:rFonts w:hint="eastAsia" w:ascii="宋体" w:hAnsi="宋体"/>
          <w:b/>
          <w:bCs/>
          <w:sz w:val="24"/>
        </w:rPr>
        <w:t>外包装格式：</w:t>
      </w:r>
    </w:p>
    <w:p>
      <w:pPr>
        <w:snapToGrid w:val="0"/>
        <w:spacing w:beforeLines="50" w:after="50" w:line="360" w:lineRule="auto"/>
        <w:jc w:val="center"/>
        <w:rPr>
          <w:rFonts w:ascii="宋体" w:hAnsi="宋体"/>
          <w:bCs/>
          <w:sz w:val="84"/>
          <w:szCs w:val="84"/>
        </w:rPr>
      </w:pPr>
    </w:p>
    <w:p>
      <w:pPr>
        <w:snapToGrid w:val="0"/>
        <w:spacing w:beforeLines="50" w:after="50" w:line="360" w:lineRule="auto"/>
        <w:jc w:val="center"/>
        <w:rPr>
          <w:rFonts w:ascii="宋体" w:hAnsi="宋体"/>
          <w:bCs/>
          <w:sz w:val="84"/>
          <w:szCs w:val="84"/>
        </w:rPr>
      </w:pPr>
      <w:r>
        <w:rPr>
          <w:rFonts w:hint="eastAsia" w:ascii="宋体" w:hAnsi="宋体"/>
          <w:bCs/>
          <w:sz w:val="84"/>
          <w:szCs w:val="84"/>
        </w:rPr>
        <w:t>投标文件</w:t>
      </w:r>
    </w:p>
    <w:p>
      <w:pPr>
        <w:spacing w:line="480" w:lineRule="auto"/>
        <w:ind w:firstLine="1265" w:firstLineChars="450"/>
        <w:rPr>
          <w:rFonts w:ascii="宋体" w:hAnsi="宋体"/>
          <w:bCs/>
          <w:sz w:val="28"/>
          <w:szCs w:val="28"/>
        </w:rPr>
      </w:pPr>
      <w:r>
        <w:rPr>
          <w:rFonts w:hint="eastAsia" w:ascii="宋体" w:hAnsi="宋体" w:cs="宋体"/>
          <w:b/>
          <w:sz w:val="28"/>
          <w:szCs w:val="28"/>
        </w:rPr>
        <w:t>投标文件内容：资格证明文件/商务技术文件</w:t>
      </w:r>
    </w:p>
    <w:p>
      <w:pPr>
        <w:snapToGrid w:val="0"/>
        <w:spacing w:beforeLines="50" w:after="50" w:line="360" w:lineRule="auto"/>
        <w:ind w:firstLine="1260" w:firstLineChars="450"/>
        <w:rPr>
          <w:rFonts w:ascii="宋体" w:hAnsi="宋体"/>
          <w:bCs/>
          <w:sz w:val="28"/>
          <w:szCs w:val="28"/>
        </w:rPr>
      </w:pPr>
      <w:r>
        <w:rPr>
          <w:rFonts w:hint="eastAsia" w:ascii="宋体" w:hAnsi="宋体"/>
          <w:bCs/>
          <w:sz w:val="28"/>
          <w:szCs w:val="28"/>
        </w:rPr>
        <w:t>项目名称：</w:t>
      </w:r>
    </w:p>
    <w:p>
      <w:pPr>
        <w:snapToGrid w:val="0"/>
        <w:spacing w:beforeLines="50" w:after="50" w:line="360" w:lineRule="auto"/>
        <w:ind w:firstLine="560" w:firstLineChars="200"/>
        <w:rPr>
          <w:rFonts w:ascii="宋体" w:hAnsi="宋体"/>
          <w:bCs/>
          <w:sz w:val="28"/>
          <w:szCs w:val="28"/>
        </w:rPr>
      </w:pPr>
      <w:r>
        <w:rPr>
          <w:rFonts w:hint="eastAsia" w:ascii="宋体" w:hAnsi="宋体"/>
          <w:bCs/>
          <w:sz w:val="28"/>
          <w:szCs w:val="28"/>
        </w:rPr>
        <w:t xml:space="preserve">     项目编号：</w:t>
      </w:r>
    </w:p>
    <w:p>
      <w:pPr>
        <w:snapToGrid w:val="0"/>
        <w:spacing w:beforeLines="50" w:after="50" w:line="360" w:lineRule="auto"/>
        <w:ind w:firstLine="1120" w:firstLineChars="400"/>
        <w:rPr>
          <w:rFonts w:ascii="宋体" w:hAnsi="宋体"/>
          <w:bCs/>
          <w:sz w:val="28"/>
          <w:szCs w:val="28"/>
        </w:rPr>
      </w:pPr>
      <w:r>
        <w:rPr>
          <w:rFonts w:hint="eastAsia" w:ascii="宋体" w:hAnsi="宋体"/>
          <w:bCs/>
          <w:sz w:val="28"/>
          <w:szCs w:val="28"/>
        </w:rPr>
        <w:t xml:space="preserve"> 投标人名称（加盖公章）：</w:t>
      </w:r>
    </w:p>
    <w:p>
      <w:pPr>
        <w:snapToGrid w:val="0"/>
        <w:spacing w:beforeLines="50" w:after="50" w:line="360" w:lineRule="auto"/>
        <w:ind w:firstLine="1260" w:firstLineChars="450"/>
        <w:rPr>
          <w:rFonts w:ascii="宋体" w:hAnsi="宋体"/>
          <w:bCs/>
          <w:sz w:val="28"/>
          <w:szCs w:val="28"/>
        </w:rPr>
      </w:pPr>
      <w:r>
        <w:rPr>
          <w:rFonts w:hint="eastAsia" w:ascii="宋体" w:hAnsi="宋体"/>
          <w:bCs/>
          <w:sz w:val="28"/>
          <w:szCs w:val="28"/>
        </w:rPr>
        <w:t>投标人地址：</w:t>
      </w:r>
    </w:p>
    <w:p>
      <w:pPr>
        <w:snapToGrid w:val="0"/>
        <w:spacing w:beforeLines="50" w:after="50" w:line="360" w:lineRule="auto"/>
        <w:ind w:firstLine="1260" w:firstLineChars="450"/>
        <w:rPr>
          <w:rFonts w:ascii="宋体" w:hAnsi="宋体"/>
          <w:bCs/>
          <w:sz w:val="28"/>
          <w:szCs w:val="28"/>
        </w:rPr>
      </w:pPr>
      <w:r>
        <w:rPr>
          <w:rFonts w:hint="eastAsia" w:ascii="宋体" w:hAnsi="宋体"/>
          <w:bCs/>
          <w:sz w:val="28"/>
          <w:szCs w:val="28"/>
        </w:rPr>
        <w:t>投标文件于202</w:t>
      </w:r>
      <w:r>
        <w:rPr>
          <w:rFonts w:hint="eastAsia" w:ascii="宋体" w:hAnsi="宋体"/>
          <w:bCs/>
          <w:sz w:val="28"/>
          <w:szCs w:val="28"/>
          <w:lang w:val="en-US" w:eastAsia="zh-CN"/>
        </w:rPr>
        <w:t>5</w:t>
      </w:r>
      <w:r>
        <w:rPr>
          <w:rFonts w:hint="eastAsia" w:ascii="宋体" w:hAnsi="宋体"/>
          <w:bCs/>
          <w:sz w:val="28"/>
          <w:szCs w:val="28"/>
        </w:rPr>
        <w:t>年   月   日 （北京时间）前不得启封</w:t>
      </w:r>
    </w:p>
    <w:p>
      <w:pPr>
        <w:snapToGrid w:val="0"/>
        <w:spacing w:beforeLines="50" w:after="50" w:line="360" w:lineRule="auto"/>
        <w:ind w:firstLine="4760" w:firstLineChars="1700"/>
        <w:rPr>
          <w:rFonts w:ascii="宋体" w:hAnsi="宋体"/>
          <w:bCs/>
          <w:sz w:val="28"/>
          <w:szCs w:val="28"/>
        </w:rPr>
      </w:pPr>
    </w:p>
    <w:p>
      <w:pPr>
        <w:snapToGrid w:val="0"/>
        <w:spacing w:beforeLines="50" w:after="50" w:line="360" w:lineRule="auto"/>
        <w:jc w:val="center"/>
        <w:rPr>
          <w:rFonts w:ascii="宋体" w:hAnsi="宋体"/>
          <w:bCs/>
          <w:sz w:val="28"/>
          <w:szCs w:val="28"/>
        </w:rPr>
      </w:pPr>
    </w:p>
    <w:p>
      <w:pPr>
        <w:snapToGrid w:val="0"/>
        <w:spacing w:beforeLines="50" w:after="50" w:line="360" w:lineRule="auto"/>
        <w:jc w:val="center"/>
        <w:rPr>
          <w:rFonts w:ascii="宋体" w:hAnsi="宋体"/>
          <w:bCs/>
          <w:sz w:val="24"/>
        </w:rPr>
      </w:pPr>
    </w:p>
    <w:p>
      <w:pPr>
        <w:snapToGrid w:val="0"/>
        <w:spacing w:beforeLines="50" w:after="50" w:line="360" w:lineRule="auto"/>
        <w:jc w:val="center"/>
        <w:rPr>
          <w:rFonts w:ascii="宋体" w:hAnsi="宋体"/>
          <w:bCs/>
          <w:sz w:val="24"/>
        </w:rPr>
      </w:pPr>
    </w:p>
    <w:p>
      <w:pPr>
        <w:snapToGrid w:val="0"/>
        <w:spacing w:beforeLines="50" w:after="50" w:line="360" w:lineRule="auto"/>
        <w:jc w:val="center"/>
        <w:rPr>
          <w:rFonts w:ascii="宋体" w:hAnsi="宋体"/>
          <w:bCs/>
          <w:sz w:val="24"/>
        </w:rPr>
      </w:pPr>
    </w:p>
    <w:p>
      <w:pPr>
        <w:snapToGrid w:val="0"/>
        <w:spacing w:beforeLines="50" w:after="50" w:line="360" w:lineRule="auto"/>
        <w:ind w:firstLine="236" w:firstLineChars="98"/>
        <w:rPr>
          <w:rFonts w:ascii="宋体" w:hAnsi="宋体"/>
          <w:b/>
          <w:bCs/>
          <w:sz w:val="24"/>
        </w:rPr>
      </w:pPr>
    </w:p>
    <w:p>
      <w:pPr>
        <w:snapToGrid w:val="0"/>
        <w:spacing w:beforeLines="50" w:after="50" w:line="360" w:lineRule="auto"/>
        <w:rPr>
          <w:rFonts w:ascii="宋体" w:hAnsi="宋体"/>
          <w:b/>
          <w:bCs/>
          <w:sz w:val="24"/>
        </w:rPr>
      </w:pPr>
      <w:r>
        <w:rPr>
          <w:rFonts w:hint="eastAsia" w:ascii="宋体" w:hAnsi="宋体"/>
          <w:b/>
          <w:bCs/>
          <w:sz w:val="24"/>
        </w:rPr>
        <w:t>2、正本/副本封面样式：</w:t>
      </w:r>
    </w:p>
    <w:p>
      <w:pPr>
        <w:snapToGrid w:val="0"/>
        <w:spacing w:beforeLines="50" w:after="50" w:line="360" w:lineRule="auto"/>
        <w:jc w:val="center"/>
        <w:rPr>
          <w:rFonts w:ascii="宋体" w:hAnsi="宋体"/>
          <w:bCs/>
          <w:sz w:val="24"/>
        </w:rPr>
      </w:pPr>
      <w:r>
        <w:rPr>
          <w:rFonts w:hint="eastAsia" w:ascii="宋体" w:hAnsi="宋体"/>
          <w:b/>
          <w:bCs/>
          <w:sz w:val="24"/>
        </w:rPr>
        <w:t xml:space="preserve">                                            正本</w:t>
      </w:r>
      <w:r>
        <w:rPr>
          <w:rFonts w:ascii="宋体" w:hAnsi="宋体"/>
          <w:b/>
          <w:bCs/>
          <w:sz w:val="24"/>
        </w:rPr>
        <w:t>/</w:t>
      </w:r>
      <w:r>
        <w:rPr>
          <w:rFonts w:hint="eastAsia" w:ascii="宋体" w:hAnsi="宋体"/>
          <w:b/>
          <w:bCs/>
          <w:sz w:val="24"/>
        </w:rPr>
        <w:t>或副本</w:t>
      </w:r>
    </w:p>
    <w:p>
      <w:pPr>
        <w:snapToGrid w:val="0"/>
        <w:spacing w:beforeLines="50" w:after="50" w:line="360" w:lineRule="auto"/>
        <w:jc w:val="center"/>
        <w:rPr>
          <w:rFonts w:ascii="宋体" w:hAnsi="宋体"/>
          <w:bCs/>
          <w:sz w:val="72"/>
          <w:szCs w:val="72"/>
        </w:rPr>
      </w:pPr>
      <w:r>
        <w:rPr>
          <w:rFonts w:hint="eastAsia" w:ascii="宋体" w:hAnsi="宋体"/>
          <w:bCs/>
          <w:sz w:val="72"/>
          <w:szCs w:val="72"/>
        </w:rPr>
        <w:t>投</w:t>
      </w:r>
    </w:p>
    <w:p>
      <w:pPr>
        <w:snapToGrid w:val="0"/>
        <w:spacing w:beforeLines="50" w:after="50" w:line="360" w:lineRule="auto"/>
        <w:jc w:val="center"/>
        <w:rPr>
          <w:rFonts w:ascii="宋体" w:hAnsi="宋体"/>
          <w:bCs/>
          <w:sz w:val="72"/>
          <w:szCs w:val="72"/>
        </w:rPr>
      </w:pPr>
      <w:r>
        <w:rPr>
          <w:rFonts w:hint="eastAsia" w:ascii="宋体" w:hAnsi="宋体"/>
          <w:bCs/>
          <w:sz w:val="72"/>
          <w:szCs w:val="72"/>
        </w:rPr>
        <w:t>标</w:t>
      </w:r>
    </w:p>
    <w:p>
      <w:pPr>
        <w:snapToGrid w:val="0"/>
        <w:spacing w:beforeLines="50" w:after="50" w:line="360" w:lineRule="auto"/>
        <w:jc w:val="center"/>
        <w:rPr>
          <w:rFonts w:ascii="宋体" w:hAnsi="宋体"/>
          <w:bCs/>
          <w:sz w:val="72"/>
          <w:szCs w:val="72"/>
        </w:rPr>
      </w:pPr>
      <w:r>
        <w:rPr>
          <w:rFonts w:hint="eastAsia" w:ascii="宋体" w:hAnsi="宋体"/>
          <w:bCs/>
          <w:sz w:val="72"/>
          <w:szCs w:val="72"/>
        </w:rPr>
        <w:t>文</w:t>
      </w:r>
    </w:p>
    <w:p>
      <w:pPr>
        <w:snapToGrid w:val="0"/>
        <w:spacing w:beforeLines="50" w:after="50" w:line="360" w:lineRule="auto"/>
        <w:jc w:val="center"/>
        <w:rPr>
          <w:rFonts w:ascii="宋体" w:hAnsi="宋体"/>
          <w:bCs/>
          <w:sz w:val="72"/>
          <w:szCs w:val="72"/>
        </w:rPr>
      </w:pPr>
      <w:r>
        <w:rPr>
          <w:rFonts w:hint="eastAsia" w:ascii="宋体" w:hAnsi="宋体"/>
          <w:bCs/>
          <w:sz w:val="72"/>
          <w:szCs w:val="72"/>
        </w:rPr>
        <w:t>件</w:t>
      </w:r>
    </w:p>
    <w:p>
      <w:pPr>
        <w:spacing w:line="360" w:lineRule="auto"/>
        <w:jc w:val="center"/>
        <w:rPr>
          <w:rFonts w:ascii="宋体" w:hAnsi="宋体" w:cs="宋体"/>
          <w:b/>
          <w:sz w:val="44"/>
          <w:szCs w:val="44"/>
        </w:rPr>
      </w:pPr>
      <w:r>
        <w:rPr>
          <w:rFonts w:hint="eastAsia" w:ascii="宋体" w:hAnsi="宋体" w:cs="宋体"/>
          <w:b/>
          <w:sz w:val="44"/>
          <w:szCs w:val="44"/>
        </w:rPr>
        <w:t>资格证明/商务技术部分</w:t>
      </w:r>
    </w:p>
    <w:p>
      <w:pPr>
        <w:snapToGrid w:val="0"/>
        <w:spacing w:beforeLines="50" w:after="50" w:line="360" w:lineRule="auto"/>
        <w:rPr>
          <w:rFonts w:ascii="宋体" w:hAnsi="宋体"/>
          <w:bCs/>
          <w:sz w:val="24"/>
        </w:rPr>
      </w:pPr>
    </w:p>
    <w:p>
      <w:pPr>
        <w:snapToGrid w:val="0"/>
        <w:spacing w:beforeLines="50" w:after="50" w:line="360" w:lineRule="auto"/>
        <w:ind w:firstLine="1080" w:firstLineChars="450"/>
        <w:rPr>
          <w:rFonts w:ascii="宋体" w:hAnsi="宋体"/>
          <w:bCs/>
          <w:sz w:val="24"/>
        </w:rPr>
      </w:pPr>
      <w:r>
        <w:rPr>
          <w:rFonts w:hint="eastAsia" w:ascii="宋体" w:hAnsi="宋体"/>
          <w:bCs/>
          <w:sz w:val="24"/>
        </w:rPr>
        <w:t>项目名称：</w:t>
      </w:r>
    </w:p>
    <w:p>
      <w:pPr>
        <w:snapToGrid w:val="0"/>
        <w:spacing w:beforeLines="50" w:after="50" w:line="360" w:lineRule="auto"/>
        <w:ind w:firstLine="480" w:firstLineChars="200"/>
        <w:rPr>
          <w:rFonts w:ascii="宋体" w:hAnsi="宋体"/>
          <w:bCs/>
          <w:sz w:val="24"/>
        </w:rPr>
      </w:pPr>
      <w:r>
        <w:rPr>
          <w:rFonts w:hint="eastAsia" w:ascii="宋体" w:hAnsi="宋体"/>
          <w:bCs/>
          <w:sz w:val="24"/>
        </w:rPr>
        <w:t xml:space="preserve">     项目编号：</w:t>
      </w:r>
    </w:p>
    <w:p>
      <w:pPr>
        <w:snapToGrid w:val="0"/>
        <w:spacing w:beforeLines="50" w:after="50" w:line="360" w:lineRule="auto"/>
        <w:ind w:firstLine="1058" w:firstLineChars="441"/>
        <w:rPr>
          <w:rFonts w:ascii="宋体" w:hAnsi="宋体"/>
          <w:bCs/>
          <w:sz w:val="24"/>
        </w:rPr>
      </w:pPr>
      <w:r>
        <w:rPr>
          <w:rFonts w:hint="eastAsia" w:ascii="宋体" w:hAnsi="宋体"/>
          <w:bCs/>
          <w:sz w:val="24"/>
        </w:rPr>
        <w:t>投标人名称（加盖公章）：</w:t>
      </w:r>
    </w:p>
    <w:p>
      <w:pPr>
        <w:snapToGrid w:val="0"/>
        <w:spacing w:beforeLines="50" w:after="50" w:line="360" w:lineRule="auto"/>
        <w:ind w:firstLine="1080" w:firstLineChars="450"/>
        <w:rPr>
          <w:rFonts w:ascii="宋体" w:hAnsi="宋体"/>
          <w:bCs/>
          <w:sz w:val="24"/>
        </w:rPr>
      </w:pPr>
      <w:r>
        <w:rPr>
          <w:rFonts w:hint="eastAsia" w:ascii="宋体" w:hAnsi="宋体"/>
          <w:bCs/>
          <w:sz w:val="24"/>
        </w:rPr>
        <w:t>投标人地址：</w:t>
      </w:r>
    </w:p>
    <w:p>
      <w:pPr>
        <w:pStyle w:val="8"/>
        <w:tabs>
          <w:tab w:val="left" w:pos="2472"/>
        </w:tabs>
        <w:snapToGrid w:val="0"/>
        <w:spacing w:before="120" w:after="120" w:line="360" w:lineRule="auto"/>
        <w:ind w:firstLine="1058" w:firstLineChars="441"/>
        <w:rPr>
          <w:b/>
          <w:bCs/>
          <w:color w:val="000000"/>
        </w:rPr>
      </w:pPr>
      <w:r>
        <w:rPr>
          <w:rFonts w:hint="eastAsia"/>
          <w:bCs/>
        </w:rPr>
        <w:t>日  期：    年    月   日</w:t>
      </w:r>
      <w:r>
        <w:rPr>
          <w:rFonts w:hint="eastAsia"/>
        </w:rPr>
        <w:br w:type="page"/>
      </w:r>
      <w:r>
        <w:rPr>
          <w:rFonts w:hint="eastAsia"/>
          <w:b/>
          <w:bCs/>
        </w:rPr>
        <w:t>3、</w:t>
      </w:r>
      <w:r>
        <w:rPr>
          <w:rFonts w:hint="eastAsia"/>
          <w:b/>
          <w:bCs/>
          <w:color w:val="000000"/>
        </w:rPr>
        <w:t>投标函</w:t>
      </w:r>
    </w:p>
    <w:p>
      <w:pPr>
        <w:spacing w:line="360" w:lineRule="auto"/>
        <w:jc w:val="left"/>
        <w:rPr>
          <w:rFonts w:ascii="宋体" w:hAnsi="宋体" w:cs="宋体"/>
          <w:spacing w:val="-4"/>
          <w:sz w:val="24"/>
        </w:rPr>
      </w:pPr>
      <w:r>
        <w:rPr>
          <w:rFonts w:hint="eastAsia" w:ascii="宋体" w:hAnsi="宋体" w:cs="宋体"/>
          <w:spacing w:val="-4"/>
          <w:sz w:val="24"/>
        </w:rPr>
        <w:t>致：浙江省岱山县第一人民医院</w:t>
      </w:r>
    </w:p>
    <w:p>
      <w:pPr>
        <w:pStyle w:val="5"/>
        <w:spacing w:line="360" w:lineRule="auto"/>
        <w:ind w:right="-91" w:firstLine="480" w:firstLineChars="200"/>
        <w:rPr>
          <w:rFonts w:hAnsi="宋体" w:cs="宋体"/>
          <w:sz w:val="24"/>
          <w:szCs w:val="24"/>
        </w:rPr>
      </w:pPr>
      <w:r>
        <w:rPr>
          <w:rFonts w:hint="eastAsia" w:hAnsi="宋体" w:cs="宋体"/>
          <w:sz w:val="24"/>
          <w:szCs w:val="24"/>
        </w:rPr>
        <w:t>我方</w:t>
      </w:r>
      <w:r>
        <w:rPr>
          <w:rFonts w:hint="eastAsia" w:hAnsi="宋体" w:cs="宋体"/>
          <w:b/>
          <w:sz w:val="24"/>
          <w:szCs w:val="24"/>
          <w:u w:val="single"/>
        </w:rPr>
        <w:t>（投标人名称）</w:t>
      </w:r>
      <w:r>
        <w:rPr>
          <w:rFonts w:hint="eastAsia" w:hAnsi="宋体" w:cs="宋体"/>
          <w:sz w:val="24"/>
          <w:szCs w:val="24"/>
        </w:rPr>
        <w:t>已详细审查了</w:t>
      </w:r>
      <w:r>
        <w:rPr>
          <w:rFonts w:hint="eastAsia" w:hAnsi="宋体" w:cs="宋体"/>
          <w:b/>
          <w:sz w:val="24"/>
          <w:szCs w:val="24"/>
          <w:u w:val="single"/>
        </w:rPr>
        <w:t>（项目名称）</w:t>
      </w:r>
      <w:r>
        <w:rPr>
          <w:rFonts w:hint="eastAsia" w:hAnsi="宋体" w:cs="宋体"/>
          <w:sz w:val="24"/>
          <w:szCs w:val="24"/>
        </w:rPr>
        <w:t>的招标文件及其相关补充文件</w:t>
      </w:r>
      <w:r>
        <w:rPr>
          <w:rFonts w:hint="eastAsia" w:hAnsi="宋体" w:cs="宋体"/>
          <w:b/>
          <w:sz w:val="24"/>
          <w:szCs w:val="24"/>
        </w:rPr>
        <w:t>（若有）</w:t>
      </w:r>
      <w:r>
        <w:rPr>
          <w:rFonts w:hint="eastAsia" w:hAnsi="宋体" w:cs="宋体"/>
          <w:sz w:val="24"/>
          <w:szCs w:val="24"/>
        </w:rPr>
        <w:t>，并正式授权我公司的</w:t>
      </w:r>
      <w:r>
        <w:rPr>
          <w:rFonts w:hint="eastAsia" w:hAnsi="宋体" w:cs="宋体"/>
          <w:b/>
          <w:sz w:val="24"/>
          <w:szCs w:val="24"/>
          <w:u w:val="single"/>
        </w:rPr>
        <w:t>（被授权人姓名）</w:t>
      </w:r>
      <w:r>
        <w:rPr>
          <w:rFonts w:hint="eastAsia" w:hAnsi="宋体" w:cs="宋体"/>
          <w:sz w:val="24"/>
          <w:szCs w:val="24"/>
        </w:rPr>
        <w:t>以本公司名义，全权代表我方自愿参加上述采购项目标项的投标，现就有关事项向采购代理机构郑重承诺如下：</w:t>
      </w:r>
    </w:p>
    <w:p>
      <w:pPr>
        <w:pStyle w:val="5"/>
        <w:spacing w:line="360" w:lineRule="auto"/>
        <w:ind w:right="-91" w:firstLine="480" w:firstLineChars="200"/>
        <w:rPr>
          <w:rFonts w:hAnsi="宋体" w:cs="宋体"/>
          <w:sz w:val="24"/>
          <w:szCs w:val="24"/>
        </w:rPr>
      </w:pPr>
      <w:r>
        <w:rPr>
          <w:rFonts w:hint="eastAsia" w:hAnsi="宋体" w:cs="宋体"/>
          <w:sz w:val="24"/>
          <w:szCs w:val="24"/>
        </w:rPr>
        <w:t>1、我方已详细审查了招标文件的全部内容及其相关补充文件</w:t>
      </w:r>
      <w:r>
        <w:rPr>
          <w:rFonts w:hint="eastAsia" w:hAnsi="宋体" w:cs="宋体"/>
          <w:b/>
          <w:sz w:val="24"/>
          <w:szCs w:val="24"/>
        </w:rPr>
        <w:t>（若有）</w:t>
      </w:r>
      <w:r>
        <w:rPr>
          <w:rFonts w:hint="eastAsia" w:hAnsi="宋体" w:cs="宋体"/>
          <w:sz w:val="24"/>
          <w:szCs w:val="24"/>
        </w:rPr>
        <w:t>，并完全清晰理解全部内容及相关的补充文件</w:t>
      </w:r>
      <w:r>
        <w:rPr>
          <w:rFonts w:hint="eastAsia" w:hAnsi="宋体" w:cs="宋体"/>
          <w:b/>
          <w:sz w:val="24"/>
          <w:szCs w:val="24"/>
        </w:rPr>
        <w:t>（若有）</w:t>
      </w:r>
      <w:r>
        <w:rPr>
          <w:rFonts w:hint="eastAsia" w:hAnsi="宋体" w:cs="宋体"/>
          <w:sz w:val="24"/>
          <w:szCs w:val="24"/>
        </w:rPr>
        <w:t>，不存在任何误解之处，同意放弃提出异议和质疑的权利。</w:t>
      </w:r>
    </w:p>
    <w:p>
      <w:pPr>
        <w:spacing w:line="360" w:lineRule="auto"/>
        <w:ind w:right="-89" w:firstLine="464" w:firstLineChars="200"/>
        <w:jc w:val="left"/>
        <w:rPr>
          <w:rFonts w:ascii="宋体" w:hAnsi="宋体" w:cs="宋体"/>
          <w:spacing w:val="-4"/>
          <w:sz w:val="24"/>
        </w:rPr>
      </w:pPr>
      <w:r>
        <w:rPr>
          <w:rFonts w:hint="eastAsia" w:ascii="宋体" w:hAnsi="宋体" w:cs="宋体"/>
          <w:spacing w:val="-4"/>
          <w:sz w:val="24"/>
        </w:rPr>
        <w:t>2、我方遵守《中华人民共和国政府采购法》及相关法律法规的规定。同意招标文件中所提到的无效标条款，并服从有关开标现场的会议纪律。否则，同意被废除投标资格。</w:t>
      </w:r>
    </w:p>
    <w:p>
      <w:pPr>
        <w:spacing w:line="360" w:lineRule="auto"/>
        <w:ind w:firstLine="464" w:firstLineChars="200"/>
        <w:rPr>
          <w:rFonts w:ascii="宋体" w:hAnsi="宋体" w:cs="宋体"/>
          <w:spacing w:val="-4"/>
          <w:sz w:val="24"/>
        </w:rPr>
      </w:pPr>
      <w:r>
        <w:rPr>
          <w:rFonts w:hint="eastAsia" w:ascii="宋体" w:hAnsi="宋体" w:cs="宋体"/>
          <w:spacing w:val="-4"/>
          <w:sz w:val="24"/>
        </w:rPr>
        <w:t>3、我方承诺所提供的一切投标文件经已认真严格审核，内容均为全面真实、准确有效且毫无保留，绝无任何遗漏、虚假、伪造和夸大的成份，若出现违背诚实信用和无如实告知之处，同意被废除投标资格和相关的处罚。</w:t>
      </w:r>
    </w:p>
    <w:p>
      <w:pPr>
        <w:spacing w:line="360" w:lineRule="auto"/>
        <w:ind w:firstLine="464" w:firstLineChars="200"/>
        <w:rPr>
          <w:rFonts w:ascii="宋体" w:hAnsi="宋体" w:cs="宋体"/>
          <w:spacing w:val="-4"/>
          <w:sz w:val="24"/>
        </w:rPr>
      </w:pPr>
      <w:r>
        <w:rPr>
          <w:rFonts w:hint="eastAsia" w:ascii="宋体" w:hAnsi="宋体" w:cs="宋体"/>
          <w:spacing w:val="-4"/>
          <w:sz w:val="24"/>
        </w:rPr>
        <w:t>4、我方所提供的一次性投标报价具有充分的合理性和准确性，保证不存在低于成本的恶意报价行为，同时清楚理解到报价最低并非意味着必定获得合同授予资格。</w:t>
      </w:r>
    </w:p>
    <w:p>
      <w:pPr>
        <w:spacing w:line="360" w:lineRule="auto"/>
        <w:ind w:firstLine="464" w:firstLineChars="200"/>
        <w:rPr>
          <w:rFonts w:ascii="宋体" w:hAnsi="宋体" w:cs="宋体"/>
          <w:spacing w:val="-4"/>
          <w:sz w:val="24"/>
        </w:rPr>
      </w:pPr>
      <w:r>
        <w:rPr>
          <w:rFonts w:hint="eastAsia" w:ascii="宋体" w:hAnsi="宋体" w:cs="宋体"/>
          <w:spacing w:val="-4"/>
          <w:sz w:val="24"/>
        </w:rPr>
        <w:t>5、投标有效期为自开标之日起</w:t>
      </w:r>
      <w:r>
        <w:rPr>
          <w:rFonts w:hint="eastAsia" w:ascii="宋体" w:hAnsi="宋体" w:cs="宋体"/>
          <w:spacing w:val="-4"/>
          <w:sz w:val="24"/>
          <w:u w:val="single"/>
        </w:rPr>
        <w:t>90</w:t>
      </w:r>
      <w:r>
        <w:rPr>
          <w:rFonts w:hint="eastAsia" w:ascii="宋体" w:hAnsi="宋体" w:cs="宋体"/>
          <w:spacing w:val="-4"/>
          <w:sz w:val="24"/>
        </w:rPr>
        <w:t>天内，如在投标有效期内撤回投标，我方同意被废除投标资格。</w:t>
      </w:r>
    </w:p>
    <w:p>
      <w:pPr>
        <w:spacing w:line="360" w:lineRule="auto"/>
        <w:ind w:firstLine="435"/>
        <w:jc w:val="left"/>
        <w:rPr>
          <w:rFonts w:ascii="宋体" w:hAnsi="宋体" w:cs="宋体"/>
          <w:spacing w:val="-4"/>
          <w:sz w:val="24"/>
        </w:rPr>
      </w:pPr>
      <w:r>
        <w:rPr>
          <w:rFonts w:hint="eastAsia" w:ascii="宋体" w:hAnsi="宋体" w:cs="宋体"/>
          <w:spacing w:val="-4"/>
          <w:sz w:val="24"/>
        </w:rPr>
        <w:t>6、我方承诺参加政府采购活动前3年内在经营活动中没有重大违法记录。</w:t>
      </w:r>
    </w:p>
    <w:p>
      <w:pPr>
        <w:spacing w:line="360" w:lineRule="auto"/>
        <w:ind w:firstLine="435"/>
        <w:jc w:val="left"/>
        <w:rPr>
          <w:rFonts w:ascii="宋体" w:hAnsi="宋体" w:cs="宋体"/>
          <w:spacing w:val="-4"/>
          <w:sz w:val="24"/>
        </w:rPr>
      </w:pPr>
      <w:r>
        <w:rPr>
          <w:rFonts w:hint="eastAsia" w:ascii="宋体" w:hAnsi="宋体" w:cs="宋体"/>
          <w:spacing w:val="-4"/>
          <w:sz w:val="24"/>
        </w:rPr>
        <w:t>7、我方承诺具备履行合同所必需的设备和专业技术能力。</w:t>
      </w:r>
    </w:p>
    <w:p>
      <w:pPr>
        <w:spacing w:line="480" w:lineRule="auto"/>
        <w:ind w:firstLine="464" w:firstLineChars="200"/>
        <w:jc w:val="left"/>
        <w:rPr>
          <w:rFonts w:ascii="宋体" w:hAnsi="宋体" w:cs="宋体"/>
          <w:spacing w:val="-4"/>
          <w:sz w:val="24"/>
        </w:rPr>
      </w:pPr>
      <w:r>
        <w:rPr>
          <w:rFonts w:hint="eastAsia" w:ascii="宋体" w:hAnsi="宋体" w:cs="宋体"/>
          <w:spacing w:val="-4"/>
          <w:sz w:val="24"/>
        </w:rPr>
        <w:t xml:space="preserve">投标人名称：（加盖公章） </w:t>
      </w:r>
    </w:p>
    <w:p>
      <w:pPr>
        <w:spacing w:line="480" w:lineRule="auto"/>
        <w:ind w:firstLine="464" w:firstLineChars="200"/>
        <w:rPr>
          <w:rFonts w:ascii="宋体" w:hAnsi="宋体" w:cs="宋体"/>
          <w:sz w:val="24"/>
        </w:rPr>
      </w:pPr>
      <w:r>
        <w:rPr>
          <w:rFonts w:hint="eastAsia" w:ascii="宋体" w:hAnsi="宋体" w:cs="宋体"/>
          <w:spacing w:val="-4"/>
          <w:sz w:val="24"/>
        </w:rPr>
        <w:t>法定代表人</w:t>
      </w:r>
      <w:r>
        <w:rPr>
          <w:rFonts w:hint="eastAsia" w:ascii="宋体" w:hAnsi="宋体" w:cs="宋体"/>
          <w:sz w:val="24"/>
        </w:rPr>
        <w:t>：（签字）</w:t>
      </w:r>
    </w:p>
    <w:p>
      <w:pPr>
        <w:spacing w:line="480" w:lineRule="auto"/>
        <w:ind w:firstLine="464" w:firstLineChars="200"/>
        <w:jc w:val="left"/>
        <w:rPr>
          <w:rFonts w:ascii="宋体" w:hAnsi="宋体" w:cs="宋体"/>
          <w:spacing w:val="-4"/>
          <w:sz w:val="24"/>
        </w:rPr>
      </w:pPr>
      <w:r>
        <w:rPr>
          <w:rFonts w:hint="eastAsia" w:ascii="宋体" w:hAnsi="宋体" w:cs="宋体"/>
          <w:spacing w:val="-4"/>
          <w:sz w:val="24"/>
        </w:rPr>
        <w:t xml:space="preserve">投标人代表：（签字） </w:t>
      </w:r>
    </w:p>
    <w:p>
      <w:pPr>
        <w:spacing w:line="480" w:lineRule="auto"/>
        <w:ind w:firstLine="464" w:firstLineChars="200"/>
        <w:rPr>
          <w:rFonts w:ascii="宋体" w:hAnsi="宋体" w:cs="宋体"/>
          <w:spacing w:val="20"/>
          <w:sz w:val="24"/>
          <w:u w:val="single"/>
        </w:rPr>
      </w:pPr>
      <w:r>
        <w:rPr>
          <w:rFonts w:hint="eastAsia" w:ascii="宋体" w:hAnsi="宋体" w:cs="宋体"/>
          <w:spacing w:val="-4"/>
          <w:sz w:val="24"/>
        </w:rPr>
        <w:t>投标人地址：</w:t>
      </w:r>
    </w:p>
    <w:p>
      <w:pPr>
        <w:spacing w:line="480" w:lineRule="auto"/>
        <w:ind w:firstLine="464" w:firstLineChars="200"/>
        <w:rPr>
          <w:rFonts w:ascii="宋体" w:hAnsi="宋体" w:cs="宋体"/>
          <w:spacing w:val="-4"/>
          <w:sz w:val="24"/>
        </w:rPr>
      </w:pPr>
      <w:r>
        <w:rPr>
          <w:rFonts w:hint="eastAsia" w:ascii="宋体" w:hAnsi="宋体" w:cs="宋体"/>
          <w:spacing w:val="-4"/>
          <w:sz w:val="24"/>
        </w:rPr>
        <w:t xml:space="preserve">日期：   年   月   日 </w:t>
      </w:r>
    </w:p>
    <w:p>
      <w:pPr>
        <w:spacing w:line="360" w:lineRule="auto"/>
        <w:rPr>
          <w:rFonts w:ascii="宋体" w:hAnsi="宋体"/>
          <w:b/>
          <w:bCs/>
          <w:sz w:val="24"/>
        </w:rPr>
      </w:pPr>
      <w:r>
        <w:rPr>
          <w:rFonts w:hint="eastAsia" w:ascii="宋体" w:hAnsi="宋体"/>
          <w:b/>
          <w:bCs/>
          <w:sz w:val="28"/>
        </w:rPr>
        <w:br w:type="page"/>
      </w:r>
      <w:r>
        <w:rPr>
          <w:rFonts w:hint="eastAsia" w:ascii="宋体" w:hAnsi="宋体"/>
          <w:b/>
          <w:bCs/>
          <w:sz w:val="28"/>
        </w:rPr>
        <w:t>4、</w:t>
      </w:r>
      <w:r>
        <w:rPr>
          <w:rFonts w:hint="eastAsia" w:ascii="宋体" w:hAnsi="宋体"/>
          <w:b/>
          <w:bCs/>
          <w:spacing w:val="20"/>
          <w:sz w:val="24"/>
        </w:rPr>
        <w:t>投标报价文件密封袋封面式样</w:t>
      </w:r>
    </w:p>
    <w:p>
      <w:pPr>
        <w:spacing w:line="360" w:lineRule="auto"/>
        <w:rPr>
          <w:rFonts w:ascii="宋体" w:hAnsi="宋体"/>
          <w:b/>
          <w:bCs/>
          <w:sz w:val="24"/>
        </w:rPr>
      </w:pPr>
    </w:p>
    <w:p>
      <w:pPr>
        <w:spacing w:line="360" w:lineRule="auto"/>
        <w:rPr>
          <w:rFonts w:ascii="宋体" w:hAnsi="宋体"/>
          <w:b/>
          <w:bCs/>
          <w:sz w:val="24"/>
        </w:rPr>
      </w:pPr>
    </w:p>
    <w:p>
      <w:pPr>
        <w:spacing w:line="360" w:lineRule="auto"/>
        <w:rPr>
          <w:rFonts w:ascii="宋体" w:hAnsi="宋体"/>
          <w:b/>
          <w:bCs/>
          <w:sz w:val="24"/>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2" w:hRule="atLeast"/>
          <w:jc w:val="center"/>
        </w:trPr>
        <w:tc>
          <w:tcPr>
            <w:tcW w:w="8647" w:type="dxa"/>
            <w:tcBorders>
              <w:top w:val="single" w:color="auto" w:sz="4" w:space="0"/>
              <w:left w:val="single" w:color="auto" w:sz="4" w:space="0"/>
              <w:bottom w:val="single" w:color="auto" w:sz="4" w:space="0"/>
              <w:right w:val="single" w:color="auto" w:sz="4" w:space="0"/>
            </w:tcBorders>
          </w:tcPr>
          <w:p>
            <w:pPr>
              <w:jc w:val="center"/>
              <w:rPr>
                <w:rFonts w:ascii="宋体" w:hAnsi="宋体"/>
                <w:b/>
                <w:bCs/>
                <w:sz w:val="24"/>
              </w:rPr>
            </w:pPr>
          </w:p>
          <w:p>
            <w:pPr>
              <w:jc w:val="center"/>
              <w:rPr>
                <w:rFonts w:ascii="宋体" w:hAnsi="宋体"/>
                <w:b/>
                <w:bCs/>
                <w:sz w:val="24"/>
              </w:rPr>
            </w:pPr>
          </w:p>
          <w:p>
            <w:pPr>
              <w:jc w:val="center"/>
              <w:rPr>
                <w:rFonts w:ascii="宋体" w:hAnsi="宋体"/>
                <w:b/>
                <w:bCs/>
                <w:sz w:val="40"/>
              </w:rPr>
            </w:pPr>
            <w:r>
              <w:rPr>
                <w:rFonts w:hint="eastAsia" w:ascii="宋体" w:hAnsi="宋体"/>
                <w:b/>
                <w:bCs/>
                <w:sz w:val="40"/>
              </w:rPr>
              <w:t>投 标 报 价文 件</w:t>
            </w:r>
          </w:p>
          <w:p>
            <w:pPr>
              <w:jc w:val="center"/>
              <w:rPr>
                <w:rFonts w:ascii="宋体" w:hAnsi="宋体"/>
                <w:b/>
                <w:bCs/>
                <w:sz w:val="24"/>
              </w:rPr>
            </w:pPr>
          </w:p>
          <w:p>
            <w:pPr>
              <w:jc w:val="center"/>
              <w:rPr>
                <w:rFonts w:ascii="宋体" w:hAnsi="宋体"/>
                <w:b/>
                <w:bCs/>
                <w:sz w:val="24"/>
              </w:rPr>
            </w:pPr>
            <w:r>
              <w:rPr>
                <w:rFonts w:hint="eastAsia" w:ascii="宋体" w:hAnsi="宋体"/>
                <w:b/>
                <w:bCs/>
                <w:sz w:val="24"/>
              </w:rPr>
              <w:t>（报价唱标时启封）</w:t>
            </w:r>
          </w:p>
          <w:p>
            <w:pPr>
              <w:spacing w:line="360" w:lineRule="auto"/>
              <w:ind w:firstLine="1205" w:firstLineChars="500"/>
              <w:rPr>
                <w:rFonts w:ascii="宋体" w:hAnsi="宋体"/>
                <w:b/>
                <w:bCs/>
                <w:sz w:val="24"/>
              </w:rPr>
            </w:pPr>
          </w:p>
          <w:p>
            <w:pPr>
              <w:spacing w:line="360" w:lineRule="auto"/>
              <w:ind w:firstLine="1205" w:firstLineChars="500"/>
              <w:rPr>
                <w:rFonts w:ascii="宋体" w:hAnsi="宋体"/>
                <w:b/>
                <w:bCs/>
                <w:sz w:val="24"/>
              </w:rPr>
            </w:pPr>
          </w:p>
          <w:p>
            <w:pPr>
              <w:spacing w:line="480" w:lineRule="auto"/>
              <w:ind w:firstLine="1205" w:firstLineChars="500"/>
              <w:rPr>
                <w:rFonts w:ascii="宋体" w:hAnsi="宋体"/>
                <w:b/>
                <w:bCs/>
                <w:sz w:val="24"/>
              </w:rPr>
            </w:pPr>
            <w:r>
              <w:rPr>
                <w:rFonts w:hint="eastAsia" w:ascii="宋体" w:hAnsi="宋体"/>
                <w:b/>
                <w:bCs/>
                <w:sz w:val="24"/>
              </w:rPr>
              <w:t xml:space="preserve">项目名称： </w:t>
            </w:r>
          </w:p>
          <w:p>
            <w:pPr>
              <w:spacing w:line="480" w:lineRule="auto"/>
              <w:ind w:firstLine="1205" w:firstLineChars="500"/>
              <w:rPr>
                <w:rFonts w:ascii="宋体" w:hAnsi="宋体"/>
                <w:b/>
                <w:bCs/>
                <w:szCs w:val="21"/>
              </w:rPr>
            </w:pPr>
            <w:r>
              <w:rPr>
                <w:rFonts w:hint="eastAsia" w:ascii="宋体" w:hAnsi="宋体"/>
                <w:b/>
                <w:bCs/>
                <w:sz w:val="24"/>
              </w:rPr>
              <w:t xml:space="preserve">项目编号： </w:t>
            </w:r>
          </w:p>
          <w:p>
            <w:pPr>
              <w:spacing w:line="480" w:lineRule="auto"/>
              <w:ind w:firstLine="1205" w:firstLineChars="500"/>
              <w:rPr>
                <w:rFonts w:ascii="宋体" w:hAnsi="宋体"/>
                <w:b/>
                <w:bCs/>
                <w:sz w:val="24"/>
                <w:u w:val="single"/>
              </w:rPr>
            </w:pPr>
            <w:r>
              <w:rPr>
                <w:rFonts w:hint="eastAsia" w:ascii="宋体" w:hAnsi="宋体"/>
                <w:b/>
                <w:bCs/>
                <w:sz w:val="24"/>
              </w:rPr>
              <w:t>投标人名称： （加盖公章）</w:t>
            </w:r>
          </w:p>
          <w:p>
            <w:pPr>
              <w:spacing w:line="480" w:lineRule="auto"/>
              <w:ind w:firstLine="1205" w:firstLineChars="500"/>
              <w:rPr>
                <w:rFonts w:ascii="宋体" w:hAnsi="宋体"/>
                <w:b/>
                <w:bCs/>
                <w:sz w:val="24"/>
                <w:u w:val="single"/>
              </w:rPr>
            </w:pPr>
            <w:r>
              <w:rPr>
                <w:rFonts w:hint="eastAsia" w:ascii="宋体" w:hAnsi="宋体"/>
                <w:b/>
                <w:bCs/>
                <w:sz w:val="24"/>
              </w:rPr>
              <w:t xml:space="preserve">投标人地址： </w:t>
            </w:r>
          </w:p>
          <w:p>
            <w:pPr>
              <w:spacing w:line="360" w:lineRule="auto"/>
              <w:ind w:firstLine="1205" w:firstLineChars="500"/>
              <w:rPr>
                <w:rFonts w:ascii="宋体" w:hAnsi="宋体"/>
                <w:b/>
                <w:bCs/>
                <w:sz w:val="24"/>
              </w:rPr>
            </w:pPr>
          </w:p>
        </w:tc>
      </w:tr>
    </w:tbl>
    <w:p>
      <w:pPr>
        <w:spacing w:line="360" w:lineRule="auto"/>
        <w:rPr>
          <w:rFonts w:ascii="宋体" w:hAnsi="宋体"/>
          <w:b/>
          <w:bCs/>
          <w:spacing w:val="20"/>
          <w:sz w:val="24"/>
        </w:rPr>
      </w:pPr>
    </w:p>
    <w:p>
      <w:pPr>
        <w:snapToGrid w:val="0"/>
        <w:spacing w:beforeLines="50" w:after="50"/>
        <w:rPr>
          <w:rFonts w:ascii="宋体" w:hAnsi="宋体"/>
          <w:b/>
          <w:bCs/>
          <w:sz w:val="24"/>
        </w:rPr>
      </w:pPr>
    </w:p>
    <w:p>
      <w:pPr>
        <w:snapToGrid w:val="0"/>
        <w:spacing w:beforeLines="50" w:after="50"/>
        <w:rPr>
          <w:rFonts w:ascii="宋体" w:hAnsi="宋体"/>
          <w:b/>
          <w:bCs/>
          <w:sz w:val="24"/>
        </w:rPr>
      </w:pPr>
    </w:p>
    <w:p>
      <w:pPr>
        <w:snapToGrid w:val="0"/>
        <w:spacing w:beforeLines="50" w:after="50"/>
        <w:rPr>
          <w:rFonts w:ascii="宋体" w:hAnsi="宋体"/>
          <w:b/>
          <w:bCs/>
          <w:sz w:val="24"/>
        </w:rPr>
      </w:pPr>
    </w:p>
    <w:p>
      <w:pPr>
        <w:snapToGrid w:val="0"/>
        <w:spacing w:beforeLines="50" w:after="50"/>
        <w:rPr>
          <w:rFonts w:ascii="宋体" w:hAnsi="宋体"/>
          <w:b/>
          <w:bCs/>
          <w:sz w:val="24"/>
        </w:rPr>
      </w:pPr>
    </w:p>
    <w:p>
      <w:pPr>
        <w:snapToGrid w:val="0"/>
        <w:spacing w:beforeLines="50" w:after="50"/>
        <w:rPr>
          <w:rFonts w:ascii="宋体" w:hAnsi="宋体"/>
          <w:b/>
          <w:bCs/>
          <w:sz w:val="24"/>
        </w:rPr>
      </w:pPr>
    </w:p>
    <w:p>
      <w:pPr>
        <w:snapToGrid w:val="0"/>
        <w:spacing w:beforeLines="50" w:after="50"/>
        <w:rPr>
          <w:rFonts w:ascii="宋体" w:hAnsi="宋体"/>
          <w:b/>
          <w:bCs/>
          <w:sz w:val="24"/>
        </w:rPr>
      </w:pPr>
    </w:p>
    <w:p>
      <w:pPr>
        <w:snapToGrid w:val="0"/>
        <w:spacing w:beforeLines="50" w:after="50"/>
        <w:rPr>
          <w:rFonts w:ascii="宋体" w:hAnsi="宋体"/>
          <w:b/>
          <w:bCs/>
          <w:sz w:val="24"/>
        </w:rPr>
      </w:pPr>
    </w:p>
    <w:p>
      <w:pPr>
        <w:snapToGrid w:val="0"/>
        <w:spacing w:beforeLines="50" w:after="50"/>
        <w:rPr>
          <w:rFonts w:ascii="宋体" w:hAnsi="宋体"/>
          <w:b/>
          <w:bCs/>
          <w:sz w:val="24"/>
        </w:rPr>
      </w:pPr>
    </w:p>
    <w:p>
      <w:pPr>
        <w:snapToGrid w:val="0"/>
        <w:spacing w:beforeLines="50" w:after="50"/>
        <w:rPr>
          <w:rFonts w:ascii="宋体" w:hAnsi="宋体"/>
          <w:b/>
          <w:bCs/>
          <w:sz w:val="24"/>
        </w:rPr>
      </w:pPr>
    </w:p>
    <w:p>
      <w:pPr>
        <w:snapToGrid w:val="0"/>
        <w:spacing w:beforeLines="50" w:after="50"/>
        <w:rPr>
          <w:rFonts w:ascii="宋体" w:hAnsi="宋体"/>
          <w:b/>
          <w:bCs/>
          <w:sz w:val="24"/>
        </w:rPr>
      </w:pPr>
    </w:p>
    <w:p>
      <w:pPr>
        <w:snapToGrid w:val="0"/>
        <w:spacing w:beforeLines="50" w:after="50"/>
        <w:rPr>
          <w:rFonts w:ascii="宋体" w:hAnsi="宋体"/>
          <w:b/>
          <w:bCs/>
          <w:sz w:val="24"/>
        </w:rPr>
      </w:pPr>
    </w:p>
    <w:p>
      <w:pPr>
        <w:snapToGrid w:val="0"/>
        <w:spacing w:beforeLines="50" w:after="50"/>
        <w:rPr>
          <w:rFonts w:ascii="宋体" w:hAnsi="宋体"/>
          <w:b/>
          <w:bCs/>
          <w:sz w:val="24"/>
        </w:rPr>
      </w:pPr>
    </w:p>
    <w:p>
      <w:pPr>
        <w:snapToGrid w:val="0"/>
        <w:spacing w:beforeLines="50" w:after="50"/>
        <w:ind w:firstLine="116" w:firstLineChars="48"/>
        <w:rPr>
          <w:rFonts w:ascii="宋体" w:hAnsi="宋体"/>
          <w:sz w:val="24"/>
        </w:rPr>
      </w:pPr>
      <w:r>
        <w:rPr>
          <w:rFonts w:hint="eastAsia" w:ascii="宋体" w:hAnsi="宋体"/>
          <w:b/>
          <w:bCs/>
          <w:sz w:val="24"/>
        </w:rPr>
        <w:t>5、报价文件封面格式</w:t>
      </w:r>
    </w:p>
    <w:p>
      <w:pPr>
        <w:snapToGrid w:val="0"/>
        <w:spacing w:beforeLines="50" w:after="50"/>
        <w:rPr>
          <w:rFonts w:ascii="宋体" w:hAnsi="宋体"/>
          <w:sz w:val="48"/>
          <w:szCs w:val="48"/>
        </w:rPr>
      </w:pPr>
    </w:p>
    <w:p>
      <w:pPr>
        <w:snapToGrid w:val="0"/>
        <w:spacing w:beforeLines="50" w:after="50" w:line="360" w:lineRule="auto"/>
        <w:jc w:val="center"/>
        <w:rPr>
          <w:rFonts w:ascii="宋体" w:hAnsi="宋体"/>
          <w:b/>
          <w:bCs/>
          <w:sz w:val="72"/>
          <w:szCs w:val="72"/>
        </w:rPr>
      </w:pPr>
      <w:r>
        <w:rPr>
          <w:rFonts w:hint="eastAsia" w:ascii="宋体" w:hAnsi="宋体"/>
          <w:b/>
          <w:bCs/>
          <w:sz w:val="72"/>
          <w:szCs w:val="72"/>
        </w:rPr>
        <w:t xml:space="preserve">报 </w:t>
      </w:r>
    </w:p>
    <w:p>
      <w:pPr>
        <w:snapToGrid w:val="0"/>
        <w:spacing w:beforeLines="50" w:after="50" w:line="360" w:lineRule="auto"/>
        <w:jc w:val="center"/>
        <w:rPr>
          <w:rFonts w:ascii="宋体" w:hAnsi="宋体"/>
          <w:b/>
          <w:bCs/>
          <w:sz w:val="72"/>
          <w:szCs w:val="72"/>
        </w:rPr>
      </w:pPr>
      <w:r>
        <w:rPr>
          <w:rFonts w:hint="eastAsia" w:ascii="宋体" w:hAnsi="宋体"/>
          <w:b/>
          <w:bCs/>
          <w:sz w:val="72"/>
          <w:szCs w:val="72"/>
        </w:rPr>
        <w:t xml:space="preserve">价 </w:t>
      </w:r>
    </w:p>
    <w:p>
      <w:pPr>
        <w:snapToGrid w:val="0"/>
        <w:spacing w:beforeLines="50" w:after="50" w:line="360" w:lineRule="auto"/>
        <w:jc w:val="center"/>
        <w:rPr>
          <w:rFonts w:ascii="宋体" w:hAnsi="宋体"/>
          <w:b/>
          <w:bCs/>
          <w:sz w:val="72"/>
          <w:szCs w:val="72"/>
        </w:rPr>
      </w:pPr>
      <w:r>
        <w:rPr>
          <w:rFonts w:hint="eastAsia" w:ascii="宋体" w:hAnsi="宋体"/>
          <w:b/>
          <w:bCs/>
          <w:sz w:val="72"/>
          <w:szCs w:val="72"/>
        </w:rPr>
        <w:t>文</w:t>
      </w:r>
    </w:p>
    <w:p>
      <w:pPr>
        <w:snapToGrid w:val="0"/>
        <w:spacing w:beforeLines="50" w:after="50" w:line="360" w:lineRule="auto"/>
        <w:jc w:val="center"/>
        <w:rPr>
          <w:rFonts w:ascii="宋体" w:hAnsi="宋体"/>
          <w:sz w:val="72"/>
          <w:szCs w:val="72"/>
        </w:rPr>
      </w:pPr>
      <w:r>
        <w:rPr>
          <w:rFonts w:hint="eastAsia" w:ascii="宋体" w:hAnsi="宋体"/>
          <w:b/>
          <w:bCs/>
          <w:sz w:val="72"/>
          <w:szCs w:val="72"/>
        </w:rPr>
        <w:t>件</w:t>
      </w:r>
    </w:p>
    <w:p>
      <w:pPr>
        <w:snapToGrid w:val="0"/>
        <w:spacing w:beforeLines="50" w:after="50" w:line="600" w:lineRule="auto"/>
        <w:jc w:val="center"/>
        <w:rPr>
          <w:rFonts w:ascii="宋体" w:hAnsi="宋体"/>
          <w:sz w:val="24"/>
        </w:rPr>
      </w:pPr>
    </w:p>
    <w:p>
      <w:pPr>
        <w:spacing w:line="600" w:lineRule="auto"/>
        <w:ind w:firstLine="1308" w:firstLineChars="543"/>
        <w:rPr>
          <w:rFonts w:ascii="宋体" w:hAnsi="宋体"/>
          <w:b/>
          <w:bCs/>
          <w:sz w:val="24"/>
        </w:rPr>
      </w:pPr>
    </w:p>
    <w:p>
      <w:pPr>
        <w:spacing w:line="600" w:lineRule="auto"/>
        <w:ind w:firstLine="1308" w:firstLineChars="543"/>
        <w:rPr>
          <w:rFonts w:ascii="宋体" w:hAnsi="宋体"/>
          <w:b/>
          <w:bCs/>
          <w:sz w:val="24"/>
          <w:u w:val="thick"/>
        </w:rPr>
      </w:pPr>
      <w:r>
        <w:rPr>
          <w:rFonts w:hint="eastAsia" w:ascii="宋体" w:hAnsi="宋体"/>
          <w:b/>
          <w:bCs/>
          <w:sz w:val="24"/>
        </w:rPr>
        <w:t>项目名称：</w:t>
      </w:r>
    </w:p>
    <w:p>
      <w:pPr>
        <w:spacing w:line="600" w:lineRule="auto"/>
        <w:ind w:firstLine="1308" w:firstLineChars="543"/>
        <w:rPr>
          <w:rFonts w:ascii="宋体" w:hAnsi="宋体"/>
          <w:b/>
          <w:bCs/>
          <w:szCs w:val="21"/>
        </w:rPr>
      </w:pPr>
      <w:r>
        <w:rPr>
          <w:rFonts w:hint="eastAsia" w:ascii="宋体" w:hAnsi="宋体"/>
          <w:b/>
          <w:bCs/>
          <w:sz w:val="24"/>
        </w:rPr>
        <w:t>项目编号：</w:t>
      </w:r>
    </w:p>
    <w:p>
      <w:pPr>
        <w:spacing w:line="600" w:lineRule="auto"/>
        <w:ind w:firstLine="1308" w:firstLineChars="543"/>
        <w:rPr>
          <w:rFonts w:ascii="宋体" w:hAnsi="宋体"/>
          <w:b/>
          <w:bCs/>
          <w:sz w:val="24"/>
        </w:rPr>
      </w:pPr>
      <w:r>
        <w:rPr>
          <w:rFonts w:hint="eastAsia" w:ascii="宋体" w:hAnsi="宋体"/>
          <w:b/>
          <w:bCs/>
          <w:sz w:val="24"/>
        </w:rPr>
        <w:t>投标人名称：（加盖公章）</w:t>
      </w:r>
    </w:p>
    <w:p>
      <w:pPr>
        <w:spacing w:line="600" w:lineRule="auto"/>
        <w:ind w:firstLine="1308" w:firstLineChars="543"/>
        <w:rPr>
          <w:rFonts w:ascii="宋体" w:hAnsi="宋体"/>
          <w:b/>
          <w:bCs/>
          <w:sz w:val="24"/>
          <w:u w:val="single"/>
        </w:rPr>
      </w:pPr>
      <w:r>
        <w:rPr>
          <w:rFonts w:hint="eastAsia" w:ascii="宋体" w:hAnsi="宋体"/>
          <w:b/>
          <w:bCs/>
          <w:sz w:val="24"/>
        </w:rPr>
        <w:t>投标人地址：</w:t>
      </w:r>
    </w:p>
    <w:p>
      <w:pPr>
        <w:adjustRightInd w:val="0"/>
        <w:spacing w:line="360" w:lineRule="auto"/>
        <w:ind w:firstLine="1205" w:firstLineChars="500"/>
        <w:rPr>
          <w:rFonts w:ascii="宋体" w:hAnsi="宋体"/>
          <w:b/>
          <w:bCs/>
          <w:sz w:val="24"/>
        </w:rPr>
      </w:pPr>
      <w:r>
        <w:rPr>
          <w:rFonts w:hint="eastAsia" w:ascii="宋体" w:hAnsi="宋体"/>
          <w:b/>
          <w:bCs/>
          <w:sz w:val="24"/>
        </w:rPr>
        <w:t>日  期：年  月  日</w:t>
      </w:r>
    </w:p>
    <w:p>
      <w:pPr>
        <w:rPr>
          <w:rFonts w:ascii="宋体" w:hAnsi="宋体"/>
          <w:b/>
          <w:bCs/>
          <w:sz w:val="24"/>
        </w:rPr>
      </w:pPr>
    </w:p>
    <w:p>
      <w:pPr>
        <w:rPr>
          <w:rFonts w:ascii="宋体" w:hAnsi="宋体"/>
          <w:b/>
          <w:bCs/>
          <w:sz w:val="24"/>
        </w:rPr>
      </w:pPr>
    </w:p>
    <w:p>
      <w:pPr>
        <w:rPr>
          <w:rFonts w:ascii="宋体" w:hAnsi="宋体"/>
          <w:b/>
          <w:bCs/>
          <w:sz w:val="24"/>
        </w:rPr>
      </w:pPr>
    </w:p>
    <w:p>
      <w:pPr>
        <w:widowControl/>
        <w:spacing w:line="288" w:lineRule="atLeast"/>
        <w:jc w:val="center"/>
        <w:rPr>
          <w:rFonts w:ascii="微软雅黑" w:hAnsi="微软雅黑" w:eastAsia="微软雅黑" w:cs="宋体"/>
          <w:color w:val="555555"/>
          <w:kern w:val="0"/>
          <w:sz w:val="19"/>
          <w:szCs w:val="19"/>
        </w:rPr>
      </w:pPr>
      <w:r>
        <w:rPr>
          <w:rFonts w:hint="eastAsia" w:ascii="宋体" w:hAnsi="宋体" w:eastAsia="宋体" w:cs="宋体"/>
          <w:b/>
          <w:bCs/>
          <w:color w:val="555555"/>
          <w:kern w:val="0"/>
          <w:sz w:val="28"/>
        </w:rPr>
        <w:t>投标报价表</w:t>
      </w:r>
    </w:p>
    <w:p>
      <w:pPr>
        <w:widowControl/>
        <w:spacing w:line="288" w:lineRule="atLeast"/>
        <w:jc w:val="right"/>
        <w:rPr>
          <w:rFonts w:ascii="微软雅黑" w:hAnsi="微软雅黑" w:eastAsia="微软雅黑" w:cs="宋体"/>
          <w:color w:val="555555"/>
          <w:kern w:val="0"/>
          <w:sz w:val="19"/>
          <w:szCs w:val="19"/>
        </w:rPr>
      </w:pPr>
      <w:r>
        <w:rPr>
          <w:rFonts w:hint="eastAsia" w:ascii="宋体" w:hAnsi="宋体" w:eastAsia="宋体" w:cs="宋体"/>
          <w:b/>
          <w:bCs/>
          <w:color w:val="555555"/>
          <w:kern w:val="0"/>
        </w:rPr>
        <w:t>货币种类：人民币（元）</w:t>
      </w:r>
    </w:p>
    <w:tbl>
      <w:tblPr>
        <w:tblStyle w:val="16"/>
        <w:tblW w:w="9419" w:type="dxa"/>
        <w:jc w:val="center"/>
        <w:tblLayout w:type="autofit"/>
        <w:tblCellMar>
          <w:top w:w="0" w:type="dxa"/>
          <w:left w:w="108" w:type="dxa"/>
          <w:bottom w:w="0" w:type="dxa"/>
          <w:right w:w="108" w:type="dxa"/>
        </w:tblCellMar>
      </w:tblPr>
      <w:tblGrid>
        <w:gridCol w:w="1733"/>
        <w:gridCol w:w="7686"/>
      </w:tblGrid>
      <w:tr>
        <w:tblPrEx>
          <w:tblCellMar>
            <w:top w:w="0" w:type="dxa"/>
            <w:left w:w="108" w:type="dxa"/>
            <w:bottom w:w="0" w:type="dxa"/>
            <w:right w:w="108" w:type="dxa"/>
          </w:tblCellMar>
        </w:tblPrEx>
        <w:trPr>
          <w:trHeight w:val="756" w:hRule="atLeast"/>
          <w:jc w:val="center"/>
        </w:trPr>
        <w:tc>
          <w:tcPr>
            <w:tcW w:w="1733" w:type="dxa"/>
            <w:tcBorders>
              <w:top w:val="single" w:color="auto" w:sz="8" w:space="0"/>
              <w:left w:val="single" w:color="auto" w:sz="8" w:space="0"/>
              <w:bottom w:val="single" w:color="auto" w:sz="8" w:space="0"/>
              <w:right w:val="single" w:color="auto" w:sz="8" w:space="0"/>
            </w:tcBorders>
            <w:vAlign w:val="center"/>
          </w:tcPr>
          <w:p>
            <w:pPr>
              <w:widowControl/>
              <w:spacing w:line="360" w:lineRule="atLeast"/>
              <w:jc w:val="center"/>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项目名称</w:t>
            </w:r>
          </w:p>
        </w:tc>
        <w:tc>
          <w:tcPr>
            <w:tcW w:w="7686" w:type="dxa"/>
            <w:tcBorders>
              <w:top w:val="single" w:color="auto" w:sz="8" w:space="0"/>
              <w:left w:val="single" w:color="auto" w:sz="8" w:space="0"/>
              <w:bottom w:val="single" w:color="auto" w:sz="8" w:space="0"/>
              <w:right w:val="single" w:color="auto" w:sz="8" w:space="0"/>
            </w:tcBorders>
            <w:vAlign w:val="center"/>
          </w:tcPr>
          <w:p>
            <w:pPr>
              <w:widowControl/>
              <w:spacing w:line="360" w:lineRule="atLeast"/>
              <w:jc w:val="center"/>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 </w:t>
            </w:r>
          </w:p>
        </w:tc>
      </w:tr>
      <w:tr>
        <w:tblPrEx>
          <w:tblCellMar>
            <w:top w:w="0" w:type="dxa"/>
            <w:left w:w="108" w:type="dxa"/>
            <w:bottom w:w="0" w:type="dxa"/>
            <w:right w:w="108" w:type="dxa"/>
          </w:tblCellMar>
        </w:tblPrEx>
        <w:trPr>
          <w:trHeight w:val="814" w:hRule="atLeast"/>
          <w:jc w:val="center"/>
        </w:trPr>
        <w:tc>
          <w:tcPr>
            <w:tcW w:w="1733" w:type="dxa"/>
            <w:tcBorders>
              <w:top w:val="nil"/>
              <w:left w:val="single" w:color="auto" w:sz="8" w:space="0"/>
              <w:bottom w:val="single" w:color="auto" w:sz="8" w:space="0"/>
              <w:right w:val="single" w:color="auto" w:sz="8" w:space="0"/>
            </w:tcBorders>
            <w:vAlign w:val="center"/>
          </w:tcPr>
          <w:p>
            <w:pPr>
              <w:widowControl/>
              <w:spacing w:line="360" w:lineRule="atLeast"/>
              <w:jc w:val="center"/>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项目编号</w:t>
            </w:r>
          </w:p>
        </w:tc>
        <w:tc>
          <w:tcPr>
            <w:tcW w:w="7686" w:type="dxa"/>
            <w:tcBorders>
              <w:top w:val="nil"/>
              <w:left w:val="single" w:color="auto" w:sz="8" w:space="0"/>
              <w:bottom w:val="single" w:color="auto" w:sz="8" w:space="0"/>
              <w:right w:val="single" w:color="auto" w:sz="8" w:space="0"/>
            </w:tcBorders>
            <w:vAlign w:val="center"/>
          </w:tcPr>
          <w:p>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 </w:t>
            </w:r>
          </w:p>
        </w:tc>
      </w:tr>
      <w:tr>
        <w:tblPrEx>
          <w:tblCellMar>
            <w:top w:w="0" w:type="dxa"/>
            <w:left w:w="108" w:type="dxa"/>
            <w:bottom w:w="0" w:type="dxa"/>
            <w:right w:w="108" w:type="dxa"/>
          </w:tblCellMar>
        </w:tblPrEx>
        <w:trPr>
          <w:trHeight w:val="1108" w:hRule="atLeast"/>
          <w:jc w:val="center"/>
        </w:trPr>
        <w:tc>
          <w:tcPr>
            <w:tcW w:w="1733" w:type="dxa"/>
            <w:tcBorders>
              <w:top w:val="nil"/>
              <w:left w:val="single" w:color="auto" w:sz="8" w:space="0"/>
              <w:bottom w:val="single" w:color="auto" w:sz="4" w:space="0"/>
              <w:right w:val="single" w:color="auto" w:sz="8" w:space="0"/>
            </w:tcBorders>
            <w:vAlign w:val="center"/>
          </w:tcPr>
          <w:p>
            <w:pPr>
              <w:widowControl/>
              <w:spacing w:line="360" w:lineRule="atLeast"/>
              <w:jc w:val="center"/>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投标报价</w:t>
            </w:r>
          </w:p>
        </w:tc>
        <w:tc>
          <w:tcPr>
            <w:tcW w:w="7686" w:type="dxa"/>
            <w:tcBorders>
              <w:top w:val="nil"/>
              <w:left w:val="single" w:color="auto" w:sz="8" w:space="0"/>
              <w:bottom w:val="single" w:color="auto" w:sz="4" w:space="0"/>
              <w:right w:val="single" w:color="auto" w:sz="8" w:space="0"/>
            </w:tcBorders>
            <w:vAlign w:val="center"/>
          </w:tcPr>
          <w:p>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color w:val="555555"/>
                <w:kern w:val="0"/>
                <w:sz w:val="24"/>
                <w:szCs w:val="24"/>
              </w:rPr>
              <w:t> </w:t>
            </w:r>
          </w:p>
        </w:tc>
      </w:tr>
      <w:tr>
        <w:tblPrEx>
          <w:tblCellMar>
            <w:top w:w="0" w:type="dxa"/>
            <w:left w:w="108" w:type="dxa"/>
            <w:bottom w:w="0" w:type="dxa"/>
            <w:right w:w="108" w:type="dxa"/>
          </w:tblCellMar>
        </w:tblPrEx>
        <w:trPr>
          <w:trHeight w:val="988" w:hRule="atLeast"/>
          <w:jc w:val="center"/>
        </w:trPr>
        <w:tc>
          <w:tcPr>
            <w:tcW w:w="1733" w:type="dxa"/>
            <w:tcBorders>
              <w:top w:val="single" w:color="auto" w:sz="4" w:space="0"/>
              <w:left w:val="single" w:color="auto" w:sz="8" w:space="0"/>
              <w:bottom w:val="single" w:color="auto" w:sz="4" w:space="0"/>
              <w:right w:val="single" w:color="auto" w:sz="8" w:space="0"/>
            </w:tcBorders>
            <w:vAlign w:val="center"/>
          </w:tcPr>
          <w:p>
            <w:pPr>
              <w:widowControl/>
              <w:spacing w:line="360" w:lineRule="atLeast"/>
              <w:jc w:val="center"/>
              <w:rPr>
                <w:rFonts w:hint="default" w:ascii="宋体" w:hAnsi="宋体" w:eastAsia="宋体" w:cs="宋体"/>
                <w:color w:val="555555"/>
                <w:kern w:val="0"/>
                <w:szCs w:val="21"/>
                <w:lang w:val="en-US" w:eastAsia="zh-CN"/>
              </w:rPr>
            </w:pPr>
            <w:r>
              <w:rPr>
                <w:rFonts w:hint="eastAsia" w:ascii="宋体" w:hAnsi="宋体" w:eastAsia="宋体" w:cs="宋体"/>
                <w:color w:val="555555"/>
                <w:kern w:val="0"/>
                <w:szCs w:val="21"/>
                <w:lang w:val="en-US" w:eastAsia="zh-CN"/>
              </w:rPr>
              <w:t>服务周期</w:t>
            </w:r>
          </w:p>
        </w:tc>
        <w:tc>
          <w:tcPr>
            <w:tcW w:w="7686" w:type="dxa"/>
            <w:tcBorders>
              <w:top w:val="single" w:color="auto" w:sz="4" w:space="0"/>
              <w:left w:val="single" w:color="auto" w:sz="8" w:space="0"/>
              <w:bottom w:val="single" w:color="auto" w:sz="4" w:space="0"/>
              <w:right w:val="single" w:color="auto" w:sz="8" w:space="0"/>
            </w:tcBorders>
            <w:vAlign w:val="center"/>
          </w:tcPr>
          <w:p>
            <w:pPr>
              <w:widowControl/>
              <w:spacing w:line="288" w:lineRule="atLeast"/>
              <w:jc w:val="left"/>
              <w:rPr>
                <w:rFonts w:hint="eastAsia" w:ascii="宋体" w:hAnsi="宋体" w:eastAsia="宋体" w:cs="宋体"/>
                <w:color w:val="555555"/>
                <w:kern w:val="0"/>
                <w:sz w:val="24"/>
                <w:szCs w:val="24"/>
              </w:rPr>
            </w:pPr>
          </w:p>
        </w:tc>
      </w:tr>
    </w:tbl>
    <w:p>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注：1. 供应商须按要求填写所有信息，不得随意更改本表格式。</w:t>
      </w:r>
    </w:p>
    <w:p>
      <w:pPr>
        <w:widowControl/>
        <w:spacing w:line="288" w:lineRule="atLeast"/>
        <w:ind w:firstLine="420"/>
        <w:jc w:val="left"/>
        <w:rPr>
          <w:rFonts w:ascii="宋体" w:hAnsi="宋体" w:eastAsia="宋体" w:cs="宋体"/>
          <w:color w:val="555555"/>
          <w:kern w:val="0"/>
          <w:szCs w:val="21"/>
        </w:rPr>
      </w:pPr>
      <w:r>
        <w:rPr>
          <w:rFonts w:hint="eastAsia" w:ascii="宋体" w:hAnsi="宋体" w:eastAsia="宋体" w:cs="宋体"/>
          <w:color w:val="555555"/>
          <w:kern w:val="0"/>
          <w:szCs w:val="21"/>
        </w:rPr>
        <w:t>2. 所有价格均应予人民币报价，金额单位为元。以上报价应与“投标报价明细表”中的“投标报价”相一致。</w:t>
      </w:r>
    </w:p>
    <w:p>
      <w:pPr>
        <w:widowControl/>
        <w:spacing w:line="288" w:lineRule="atLeast"/>
        <w:ind w:firstLine="420"/>
        <w:jc w:val="left"/>
        <w:rPr>
          <w:rFonts w:ascii="微软雅黑" w:hAnsi="微软雅黑" w:eastAsia="微软雅黑" w:cs="宋体"/>
          <w:color w:val="555555"/>
          <w:kern w:val="0"/>
          <w:sz w:val="19"/>
          <w:szCs w:val="19"/>
        </w:rPr>
      </w:pPr>
      <w:r>
        <w:rPr>
          <w:rFonts w:hint="eastAsia" w:ascii="宋体" w:hAnsi="宋体" w:eastAsia="宋体" w:cs="宋体"/>
          <w:color w:val="555555"/>
          <w:kern w:val="0"/>
          <w:szCs w:val="21"/>
        </w:rPr>
        <w:t>3．</w:t>
      </w:r>
      <w:r>
        <w:rPr>
          <w:rFonts w:hint="eastAsia" w:ascii="宋体" w:hAnsi="宋体" w:eastAsia="宋体" w:cs="宋体"/>
          <w:b/>
          <w:bCs/>
          <w:color w:val="555555"/>
          <w:kern w:val="0"/>
        </w:rPr>
        <w:t>此表不随响应文件一起密封、递交。</w:t>
      </w:r>
    </w:p>
    <w:p>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b/>
          <w:bCs/>
          <w:color w:val="555555"/>
          <w:kern w:val="0"/>
        </w:rPr>
        <w:t> </w:t>
      </w:r>
    </w:p>
    <w:p>
      <w:pPr>
        <w:widowControl/>
        <w:spacing w:line="360" w:lineRule="atLeast"/>
        <w:jc w:val="left"/>
        <w:rPr>
          <w:rFonts w:ascii="微软雅黑" w:hAnsi="微软雅黑" w:eastAsia="微软雅黑" w:cs="宋体"/>
          <w:color w:val="555555"/>
          <w:kern w:val="0"/>
          <w:sz w:val="19"/>
          <w:szCs w:val="19"/>
        </w:rPr>
      </w:pPr>
      <w:r>
        <w:rPr>
          <w:rFonts w:ascii="Times New Roman" w:hAnsi="Times New Roman" w:eastAsia="微软雅黑" w:cs="Times New Roman"/>
          <w:b/>
          <w:bCs/>
          <w:color w:val="555555"/>
          <w:kern w:val="0"/>
        </w:rPr>
        <w:t> </w:t>
      </w:r>
    </w:p>
    <w:p>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color w:val="555555"/>
          <w:kern w:val="0"/>
          <w:sz w:val="24"/>
          <w:szCs w:val="24"/>
        </w:rPr>
        <w:t>投标人名称：（加盖公章）  </w:t>
      </w:r>
    </w:p>
    <w:p>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color w:val="555555"/>
          <w:kern w:val="0"/>
          <w:sz w:val="24"/>
          <w:szCs w:val="24"/>
        </w:rPr>
        <w:t> </w:t>
      </w:r>
    </w:p>
    <w:p>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color w:val="555555"/>
          <w:kern w:val="0"/>
          <w:sz w:val="24"/>
          <w:szCs w:val="24"/>
        </w:rPr>
        <w:t>法定代表人或授权委托人：（签字或盖章）</w:t>
      </w:r>
    </w:p>
    <w:p>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color w:val="555555"/>
          <w:spacing w:val="20"/>
          <w:kern w:val="0"/>
          <w:sz w:val="24"/>
          <w:szCs w:val="24"/>
        </w:rPr>
        <w:t> </w:t>
      </w:r>
    </w:p>
    <w:p>
      <w:pPr>
        <w:widowControl/>
        <w:spacing w:line="288" w:lineRule="atLeast"/>
        <w:jc w:val="left"/>
        <w:rPr>
          <w:rFonts w:ascii="微软雅黑" w:hAnsi="微软雅黑" w:eastAsia="微软雅黑" w:cs="宋体"/>
          <w:color w:val="555555"/>
          <w:kern w:val="0"/>
          <w:sz w:val="19"/>
          <w:szCs w:val="19"/>
        </w:rPr>
      </w:pPr>
      <w:r>
        <w:rPr>
          <w:rFonts w:hint="eastAsia" w:ascii="宋体" w:hAnsi="宋体" w:eastAsia="宋体" w:cs="宋体"/>
          <w:color w:val="555555"/>
          <w:spacing w:val="20"/>
          <w:kern w:val="0"/>
          <w:sz w:val="24"/>
          <w:szCs w:val="24"/>
        </w:rPr>
        <w:t>日期：年月日</w:t>
      </w:r>
    </w:p>
    <w:p>
      <w:pPr>
        <w:spacing w:line="264" w:lineRule="auto"/>
        <w:ind w:firstLine="480" w:firstLineChars="200"/>
        <w:rPr>
          <w:rFonts w:ascii="宋体" w:hAnsi="宋体" w:cs="宋体"/>
          <w:b/>
          <w:sz w:val="24"/>
        </w:rPr>
      </w:pPr>
      <w:r>
        <w:rPr>
          <w:rFonts w:hint="eastAsia" w:ascii="宋体" w:hAnsi="宋体" w:cs="宋体"/>
          <w:sz w:val="24"/>
        </w:rPr>
        <w:t>注：</w:t>
      </w:r>
      <w:r>
        <w:rPr>
          <w:rFonts w:hint="eastAsia" w:ascii="宋体" w:hAnsi="宋体" w:cs="宋体"/>
          <w:b/>
          <w:sz w:val="24"/>
        </w:rPr>
        <w:t>法定代表人授权委托书、投标声明书、投标函、投标报价表必须由法定代表人或授权人签名并加盖单位公章。</w:t>
      </w:r>
    </w:p>
    <w:p>
      <w:pPr>
        <w:spacing w:line="264" w:lineRule="auto"/>
        <w:ind w:firstLine="482" w:firstLineChars="200"/>
        <w:rPr>
          <w:rFonts w:ascii="宋体" w:hAnsi="宋体" w:cs="宋体"/>
          <w:b/>
          <w:sz w:val="24"/>
        </w:rPr>
      </w:pPr>
    </w:p>
    <w:p>
      <w:pPr>
        <w:spacing w:line="264" w:lineRule="auto"/>
        <w:ind w:firstLine="482" w:firstLineChars="200"/>
        <w:rPr>
          <w:rFonts w:ascii="宋体" w:hAnsi="宋体" w:cs="宋体"/>
          <w:b/>
          <w:sz w:val="24"/>
        </w:rPr>
      </w:pPr>
    </w:p>
    <w:p>
      <w:pPr>
        <w:spacing w:line="264" w:lineRule="auto"/>
        <w:ind w:firstLine="482" w:firstLineChars="200"/>
        <w:rPr>
          <w:rFonts w:ascii="宋体" w:hAnsi="宋体" w:cs="宋体"/>
          <w:b/>
          <w:sz w:val="24"/>
        </w:rPr>
      </w:pPr>
    </w:p>
    <w:p>
      <w:pPr>
        <w:spacing w:line="264" w:lineRule="auto"/>
        <w:ind w:firstLine="482" w:firstLineChars="200"/>
        <w:rPr>
          <w:rFonts w:ascii="宋体" w:hAnsi="宋体" w:cs="宋体"/>
          <w:b/>
          <w:sz w:val="24"/>
        </w:rPr>
      </w:pPr>
    </w:p>
    <w:p>
      <w:pPr>
        <w:spacing w:line="264" w:lineRule="auto"/>
        <w:ind w:firstLine="482" w:firstLineChars="200"/>
        <w:rPr>
          <w:rFonts w:ascii="宋体" w:hAnsi="宋体" w:cs="宋体"/>
          <w:b/>
          <w:sz w:val="24"/>
        </w:rPr>
      </w:pPr>
    </w:p>
    <w:p>
      <w:pPr>
        <w:spacing w:line="264" w:lineRule="auto"/>
        <w:ind w:firstLine="482" w:firstLineChars="200"/>
        <w:rPr>
          <w:rFonts w:ascii="宋体" w:hAnsi="宋体" w:cs="宋体"/>
          <w:b/>
          <w:sz w:val="24"/>
        </w:rPr>
      </w:pPr>
    </w:p>
    <w:p>
      <w:pPr>
        <w:spacing w:line="264" w:lineRule="auto"/>
        <w:ind w:firstLine="482" w:firstLineChars="200"/>
        <w:rPr>
          <w:rFonts w:ascii="宋体" w:hAnsi="宋体" w:cs="宋体"/>
          <w:b/>
          <w:sz w:val="24"/>
        </w:rPr>
      </w:pPr>
    </w:p>
    <w:p>
      <w:pPr>
        <w:spacing w:line="264" w:lineRule="auto"/>
        <w:ind w:firstLine="482" w:firstLineChars="200"/>
        <w:rPr>
          <w:rFonts w:ascii="宋体" w:hAnsi="宋体" w:cs="宋体"/>
          <w:b/>
          <w:sz w:val="24"/>
        </w:rPr>
      </w:pPr>
    </w:p>
    <w:p>
      <w:pPr>
        <w:spacing w:line="264" w:lineRule="auto"/>
        <w:ind w:firstLine="482" w:firstLineChars="200"/>
        <w:rPr>
          <w:rFonts w:ascii="宋体" w:hAnsi="宋体" w:cs="宋体"/>
          <w:b/>
          <w:sz w:val="24"/>
        </w:rPr>
      </w:pPr>
    </w:p>
    <w:p>
      <w:pPr>
        <w:spacing w:line="264" w:lineRule="auto"/>
        <w:ind w:firstLine="482" w:firstLineChars="200"/>
        <w:rPr>
          <w:rFonts w:ascii="宋体" w:hAnsi="宋体" w:cs="宋体"/>
          <w:b/>
          <w:sz w:val="24"/>
        </w:rPr>
      </w:pPr>
    </w:p>
    <w:p>
      <w:pPr>
        <w:spacing w:line="264" w:lineRule="auto"/>
        <w:ind w:firstLine="482" w:firstLineChars="200"/>
        <w:rPr>
          <w:rFonts w:ascii="宋体" w:hAnsi="宋体" w:cs="宋体"/>
          <w:b/>
          <w:sz w:val="24"/>
        </w:rPr>
      </w:pPr>
    </w:p>
    <w:p>
      <w:pPr>
        <w:spacing w:line="264" w:lineRule="auto"/>
        <w:ind w:firstLine="482" w:firstLineChars="200"/>
        <w:rPr>
          <w:rFonts w:ascii="宋体" w:hAnsi="宋体" w:cs="宋体"/>
          <w:b/>
          <w:sz w:val="24"/>
        </w:rPr>
      </w:pPr>
    </w:p>
    <w:p>
      <w:pPr>
        <w:spacing w:line="264" w:lineRule="auto"/>
        <w:ind w:firstLine="482" w:firstLineChars="200"/>
        <w:rPr>
          <w:rFonts w:ascii="宋体" w:hAnsi="宋体" w:cs="宋体"/>
          <w:b/>
          <w:sz w:val="24"/>
        </w:rPr>
      </w:pPr>
    </w:p>
    <w:p>
      <w:pPr>
        <w:spacing w:line="264" w:lineRule="auto"/>
        <w:ind w:firstLine="482" w:firstLineChars="200"/>
        <w:rPr>
          <w:rFonts w:ascii="宋体" w:hAnsi="宋体" w:cs="宋体"/>
          <w:b/>
          <w:sz w:val="24"/>
        </w:rPr>
      </w:pPr>
    </w:p>
    <w:p>
      <w:pPr>
        <w:snapToGrid w:val="0"/>
        <w:spacing w:before="50" w:after="50"/>
        <w:ind w:firstLine="241" w:firstLineChars="100"/>
        <w:rPr>
          <w:rFonts w:ascii="宋体" w:hAnsi="宋体"/>
          <w:b/>
          <w:bCs/>
          <w:sz w:val="24"/>
        </w:rPr>
      </w:pPr>
    </w:p>
    <w:p>
      <w:pPr>
        <w:rPr>
          <w:rFonts w:ascii="宋体" w:hAnsi="宋体"/>
          <w:b/>
          <w:color w:val="000000"/>
          <w:sz w:val="24"/>
        </w:rPr>
      </w:pPr>
      <w:r>
        <w:rPr>
          <w:rFonts w:hint="eastAsia" w:ascii="宋体" w:hAnsi="宋体"/>
          <w:b/>
          <w:bCs/>
          <w:color w:val="000000"/>
          <w:sz w:val="24"/>
        </w:rPr>
        <w:t>6、法定代表人授</w:t>
      </w:r>
      <w:r>
        <w:rPr>
          <w:rFonts w:hint="eastAsia" w:ascii="宋体" w:hAnsi="宋体"/>
          <w:b/>
          <w:color w:val="000000"/>
          <w:sz w:val="24"/>
        </w:rPr>
        <w:t>权委托书格式</w:t>
      </w:r>
    </w:p>
    <w:p>
      <w:pPr>
        <w:ind w:left="360"/>
        <w:rPr>
          <w:rFonts w:ascii="宋体" w:hAnsi="宋体"/>
          <w:color w:val="000000"/>
          <w:szCs w:val="21"/>
        </w:rPr>
      </w:pPr>
    </w:p>
    <w:p>
      <w:pPr>
        <w:jc w:val="center"/>
        <w:rPr>
          <w:rFonts w:ascii="宋体" w:hAnsi="宋体"/>
          <w:color w:val="000000"/>
          <w:szCs w:val="21"/>
        </w:rPr>
      </w:pPr>
      <w:r>
        <w:rPr>
          <w:rFonts w:hint="eastAsia" w:ascii="宋体" w:hAnsi="宋体"/>
          <w:b/>
          <w:color w:val="000000"/>
          <w:sz w:val="28"/>
          <w:szCs w:val="21"/>
        </w:rPr>
        <w:t>法定代表人授权委托书</w:t>
      </w:r>
    </w:p>
    <w:p>
      <w:pPr>
        <w:spacing w:line="360" w:lineRule="auto"/>
        <w:rPr>
          <w:rFonts w:ascii="宋体" w:hAnsi="宋体"/>
          <w:b/>
          <w:sz w:val="24"/>
        </w:rPr>
      </w:pPr>
    </w:p>
    <w:p>
      <w:pPr>
        <w:spacing w:line="460" w:lineRule="exact"/>
        <w:jc w:val="center"/>
        <w:rPr>
          <w:rFonts w:ascii="宋体" w:hAnsi="宋体"/>
          <w:b/>
          <w:szCs w:val="21"/>
        </w:rPr>
      </w:pPr>
    </w:p>
    <w:p>
      <w:pPr>
        <w:spacing w:line="360" w:lineRule="auto"/>
        <w:jc w:val="left"/>
        <w:rPr>
          <w:rFonts w:ascii="宋体" w:hAnsi="宋体" w:cs="宋体"/>
          <w:spacing w:val="-4"/>
          <w:sz w:val="24"/>
        </w:rPr>
      </w:pPr>
      <w:r>
        <w:rPr>
          <w:rFonts w:hint="eastAsia" w:ascii="宋体" w:hAnsi="宋体" w:cs="宋体"/>
          <w:spacing w:val="-4"/>
          <w:sz w:val="24"/>
        </w:rPr>
        <w:t>致：浙江省岱山县第一人民</w:t>
      </w:r>
      <w:r>
        <w:rPr>
          <w:rFonts w:hint="eastAsia" w:ascii="宋体" w:hAnsi="宋体" w:cs="宋体"/>
          <w:sz w:val="24"/>
        </w:rPr>
        <w:t>医院</w:t>
      </w:r>
    </w:p>
    <w:p>
      <w:pPr>
        <w:spacing w:line="360" w:lineRule="auto"/>
        <w:ind w:right="-89" w:firstLine="464" w:firstLineChars="200"/>
        <w:jc w:val="left"/>
        <w:rPr>
          <w:rFonts w:ascii="宋体" w:hAnsi="宋体" w:cs="宋体"/>
          <w:spacing w:val="-4"/>
          <w:sz w:val="24"/>
        </w:rPr>
      </w:pPr>
      <w:r>
        <w:rPr>
          <w:rFonts w:hint="eastAsia" w:ascii="宋体" w:hAnsi="宋体" w:cs="宋体"/>
          <w:spacing w:val="-4"/>
          <w:sz w:val="24"/>
        </w:rPr>
        <w:t>我（姓名）系（投标人名称）的法定代表人，现授权委托本单位在职职工（姓名）(身份证号码：)以我方的名义参加项目的投标活动，并代表我方全权办理针对上述项目的投标、开标、评标、签约等具体事务和签署相关文件。</w:t>
      </w:r>
    </w:p>
    <w:p>
      <w:pPr>
        <w:spacing w:line="360" w:lineRule="auto"/>
        <w:ind w:right="-89" w:firstLine="464" w:firstLineChars="200"/>
        <w:jc w:val="left"/>
        <w:rPr>
          <w:rFonts w:ascii="宋体" w:hAnsi="宋体" w:cs="宋体"/>
          <w:spacing w:val="-4"/>
          <w:sz w:val="24"/>
        </w:rPr>
      </w:pPr>
      <w:r>
        <w:rPr>
          <w:rFonts w:hint="eastAsia" w:ascii="宋体" w:hAnsi="宋体" w:cs="宋体"/>
          <w:spacing w:val="-4"/>
          <w:sz w:val="24"/>
        </w:rPr>
        <w:t>我方对被授权人的签名负全部责任。</w:t>
      </w:r>
    </w:p>
    <w:p>
      <w:pPr>
        <w:spacing w:line="360" w:lineRule="auto"/>
        <w:ind w:right="-89" w:firstLine="464" w:firstLineChars="200"/>
        <w:jc w:val="left"/>
        <w:rPr>
          <w:rFonts w:ascii="宋体" w:hAnsi="宋体" w:cs="宋体"/>
          <w:spacing w:val="-4"/>
          <w:sz w:val="24"/>
        </w:rPr>
      </w:pPr>
      <w:r>
        <w:rPr>
          <w:rFonts w:hint="eastAsia" w:ascii="宋体" w:hAnsi="宋体" w:cs="宋体"/>
          <w:spacing w:val="-4"/>
          <w:sz w:val="24"/>
        </w:rPr>
        <w:t>在撤销授权的书面通知以前，本授权函一直有效。被授权人在授权函有效期内签署的所有文件不因授权的撤销而失效。</w:t>
      </w:r>
    </w:p>
    <w:p>
      <w:pPr>
        <w:spacing w:line="360" w:lineRule="auto"/>
        <w:ind w:right="-89" w:firstLine="464" w:firstLineChars="200"/>
        <w:jc w:val="left"/>
        <w:rPr>
          <w:rFonts w:ascii="宋体" w:hAnsi="宋体" w:cs="宋体"/>
          <w:spacing w:val="-4"/>
          <w:sz w:val="24"/>
        </w:rPr>
      </w:pPr>
      <w:r>
        <w:rPr>
          <w:rFonts w:hint="eastAsia" w:ascii="宋体" w:hAnsi="宋体" w:cs="宋体"/>
          <w:spacing w:val="-4"/>
          <w:sz w:val="24"/>
        </w:rPr>
        <w:t>被授权人无转委托权，特此委托。</w:t>
      </w:r>
    </w:p>
    <w:p>
      <w:pPr>
        <w:spacing w:line="360" w:lineRule="auto"/>
        <w:ind w:right="-89" w:firstLine="464" w:firstLineChars="200"/>
        <w:jc w:val="left"/>
        <w:rPr>
          <w:rFonts w:ascii="宋体" w:hAnsi="宋体" w:cs="宋体"/>
          <w:spacing w:val="-4"/>
          <w:sz w:val="24"/>
        </w:rPr>
      </w:pPr>
      <w:r>
        <w:rPr>
          <w:rFonts w:hint="eastAsia" w:ascii="宋体" w:hAnsi="宋体" w:cs="宋体"/>
          <w:spacing w:val="-4"/>
          <w:sz w:val="24"/>
        </w:rPr>
        <w:t xml:space="preserve">被授权人签名：                              法定代表人签名：          </w:t>
      </w:r>
    </w:p>
    <w:p>
      <w:pPr>
        <w:spacing w:line="360" w:lineRule="auto"/>
        <w:ind w:right="-89" w:firstLine="464" w:firstLineChars="200"/>
        <w:jc w:val="left"/>
        <w:rPr>
          <w:rFonts w:ascii="宋体" w:hAnsi="宋体" w:cs="宋体"/>
          <w:spacing w:val="-4"/>
          <w:sz w:val="24"/>
        </w:rPr>
      </w:pPr>
      <w:r>
        <w:rPr>
          <w:rFonts w:hint="eastAsia" w:ascii="宋体" w:hAnsi="宋体" w:cs="宋体"/>
          <w:spacing w:val="-4"/>
          <w:sz w:val="24"/>
        </w:rPr>
        <w:t>被授权人联系电话：                          法定代表人联系电话：</w:t>
      </w:r>
    </w:p>
    <w:p>
      <w:pPr>
        <w:spacing w:line="360" w:lineRule="auto"/>
        <w:ind w:right="-89" w:firstLine="5104" w:firstLineChars="2200"/>
        <w:jc w:val="left"/>
        <w:rPr>
          <w:rFonts w:ascii="宋体" w:hAnsi="宋体" w:cs="宋体"/>
          <w:spacing w:val="-4"/>
          <w:sz w:val="24"/>
        </w:rPr>
      </w:pPr>
    </w:p>
    <w:p>
      <w:pPr>
        <w:spacing w:line="360" w:lineRule="auto"/>
        <w:ind w:right="-89" w:firstLine="5104" w:firstLineChars="2200"/>
        <w:jc w:val="left"/>
        <w:rPr>
          <w:rFonts w:ascii="宋体" w:hAnsi="宋体" w:cs="宋体"/>
          <w:spacing w:val="-4"/>
          <w:sz w:val="24"/>
        </w:rPr>
      </w:pPr>
    </w:p>
    <w:p>
      <w:pPr>
        <w:spacing w:line="360" w:lineRule="auto"/>
        <w:ind w:right="-89" w:firstLine="5104" w:firstLineChars="2200"/>
        <w:jc w:val="left"/>
        <w:rPr>
          <w:rFonts w:ascii="宋体" w:hAnsi="宋体" w:cs="宋体"/>
          <w:spacing w:val="-4"/>
          <w:sz w:val="24"/>
        </w:rPr>
      </w:pPr>
      <w:r>
        <w:rPr>
          <w:rFonts w:hint="eastAsia" w:ascii="宋体" w:hAnsi="宋体" w:cs="宋体"/>
          <w:spacing w:val="-4"/>
          <w:sz w:val="24"/>
        </w:rPr>
        <w:t xml:space="preserve">   投标人公章：</w:t>
      </w:r>
    </w:p>
    <w:p>
      <w:pPr>
        <w:spacing w:line="360" w:lineRule="auto"/>
        <w:rPr>
          <w:rFonts w:ascii="宋体" w:hAnsi="宋体" w:cs="宋体"/>
          <w:spacing w:val="-4"/>
          <w:sz w:val="24"/>
        </w:rPr>
      </w:pPr>
      <w:r>
        <w:rPr>
          <w:rFonts w:hint="eastAsia" w:ascii="宋体" w:hAnsi="宋体" w:cs="宋体"/>
          <w:spacing w:val="-4"/>
          <w:sz w:val="24"/>
        </w:rPr>
        <w:t xml:space="preserve">                                                    年月日</w:t>
      </w:r>
    </w:p>
    <w:p>
      <w:pPr>
        <w:spacing w:line="360" w:lineRule="auto"/>
        <w:rPr>
          <w:rFonts w:ascii="宋体" w:hAnsi="宋体" w:cs="宋体"/>
          <w:spacing w:val="-4"/>
          <w:sz w:val="24"/>
        </w:rPr>
      </w:pPr>
    </w:p>
    <w:p>
      <w:pPr>
        <w:pStyle w:val="39"/>
        <w:widowControl w:val="0"/>
        <w:adjustRightInd w:val="0"/>
        <w:spacing w:before="0" w:beforeAutospacing="0" w:after="0" w:afterAutospacing="0" w:line="360" w:lineRule="auto"/>
        <w:jc w:val="both"/>
        <w:textAlignment w:val="baseline"/>
        <w:rPr>
          <w:rFonts w:ascii="宋体" w:eastAsia="宋体" w:cs="宋体"/>
          <w:spacing w:val="20"/>
          <w:kern w:val="2"/>
          <w:sz w:val="24"/>
        </w:rPr>
      </w:pPr>
    </w:p>
    <w:p>
      <w:pPr>
        <w:pStyle w:val="39"/>
        <w:widowControl w:val="0"/>
        <w:adjustRightInd w:val="0"/>
        <w:spacing w:before="0" w:beforeAutospacing="0" w:after="0" w:afterAutospacing="0" w:line="360" w:lineRule="auto"/>
        <w:jc w:val="both"/>
        <w:textAlignment w:val="baseline"/>
        <w:rPr>
          <w:rFonts w:ascii="宋体" w:eastAsia="宋体" w:cs="宋体"/>
          <w:sz w:val="24"/>
        </w:rPr>
      </w:pPr>
      <w:r>
        <w:rPr>
          <w:rFonts w:hint="eastAsia" w:ascii="宋体" w:eastAsia="宋体" w:cs="宋体"/>
          <w:sz w:val="24"/>
        </w:rPr>
        <w:t>注：授权委托书必须有法定代表人和投标人代表双方签字，否则将导致投标无效。</w:t>
      </w:r>
    </w:p>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9"/>
      </w:rPr>
      <w:id w:val="1669126346"/>
    </w:sdtPr>
    <w:sdtEndPr>
      <w:rPr>
        <w:rStyle w:val="19"/>
      </w:rPr>
    </w:sdtEndPr>
    <w:sdtContent>
      <w:p>
        <w:pPr>
          <w:pStyle w:val="10"/>
          <w:framePr w:wrap="around" w:vAnchor="text" w:hAnchor="margin" w:xAlign="center" w:y="1"/>
          <w:rPr>
            <w:rStyle w:val="19"/>
          </w:rPr>
        </w:pPr>
        <w:r>
          <w:rPr>
            <w:rStyle w:val="19"/>
          </w:rPr>
          <w:fldChar w:fldCharType="begin"/>
        </w:r>
        <w:r>
          <w:rPr>
            <w:rStyle w:val="19"/>
          </w:rPr>
          <w:instrText xml:space="preserve"> PAGE </w:instrText>
        </w:r>
        <w:r>
          <w:rPr>
            <w:rStyle w:val="19"/>
          </w:rPr>
          <w:fldChar w:fldCharType="separate"/>
        </w:r>
        <w:r>
          <w:rPr>
            <w:rStyle w:val="19"/>
          </w:rPr>
          <w:t>2</w:t>
        </w:r>
        <w:r>
          <w:rPr>
            <w:rStyle w:val="19"/>
          </w:rP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r>
      <w:rPr>
        <w:rFonts w:hint="eastAsia"/>
      </w:rPr>
      <w:t xml:space="preserve"> </w:t>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60DECD"/>
    <w:multiLevelType w:val="multilevel"/>
    <w:tmpl w:val="8F60DECD"/>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
    <w:nsid w:val="09831105"/>
    <w:multiLevelType w:val="multilevel"/>
    <w:tmpl w:val="09831105"/>
    <w:lvl w:ilvl="0" w:tentative="0">
      <w:start w:val="1"/>
      <w:numFmt w:val="decimal"/>
      <w:lvlText w:val="%1."/>
      <w:lvlJc w:val="left"/>
      <w:pPr>
        <w:ind w:left="900" w:hanging="480"/>
      </w:pPr>
    </w:lvl>
    <w:lvl w:ilvl="1" w:tentative="0">
      <w:start w:val="1"/>
      <w:numFmt w:val="lowerLetter"/>
      <w:lvlText w:val="%2)"/>
      <w:lvlJc w:val="left"/>
      <w:pPr>
        <w:ind w:left="1380" w:hanging="480"/>
      </w:pPr>
    </w:lvl>
    <w:lvl w:ilvl="2" w:tentative="0">
      <w:start w:val="1"/>
      <w:numFmt w:val="lowerRoman"/>
      <w:lvlText w:val="%3."/>
      <w:lvlJc w:val="right"/>
      <w:pPr>
        <w:ind w:left="1860" w:hanging="480"/>
      </w:pPr>
    </w:lvl>
    <w:lvl w:ilvl="3" w:tentative="0">
      <w:start w:val="1"/>
      <w:numFmt w:val="decimal"/>
      <w:lvlText w:val="%4."/>
      <w:lvlJc w:val="left"/>
      <w:pPr>
        <w:ind w:left="2340" w:hanging="480"/>
      </w:pPr>
    </w:lvl>
    <w:lvl w:ilvl="4" w:tentative="0">
      <w:start w:val="1"/>
      <w:numFmt w:val="lowerLetter"/>
      <w:lvlText w:val="%5)"/>
      <w:lvlJc w:val="left"/>
      <w:pPr>
        <w:ind w:left="2820" w:hanging="480"/>
      </w:pPr>
    </w:lvl>
    <w:lvl w:ilvl="5" w:tentative="0">
      <w:start w:val="1"/>
      <w:numFmt w:val="lowerRoman"/>
      <w:lvlText w:val="%6."/>
      <w:lvlJc w:val="right"/>
      <w:pPr>
        <w:ind w:left="3300" w:hanging="480"/>
      </w:pPr>
    </w:lvl>
    <w:lvl w:ilvl="6" w:tentative="0">
      <w:start w:val="1"/>
      <w:numFmt w:val="decimal"/>
      <w:lvlText w:val="%7."/>
      <w:lvlJc w:val="left"/>
      <w:pPr>
        <w:ind w:left="3780" w:hanging="480"/>
      </w:pPr>
    </w:lvl>
    <w:lvl w:ilvl="7" w:tentative="0">
      <w:start w:val="1"/>
      <w:numFmt w:val="lowerLetter"/>
      <w:lvlText w:val="%8)"/>
      <w:lvlJc w:val="left"/>
      <w:pPr>
        <w:ind w:left="4260" w:hanging="480"/>
      </w:pPr>
    </w:lvl>
    <w:lvl w:ilvl="8" w:tentative="0">
      <w:start w:val="1"/>
      <w:numFmt w:val="lowerRoman"/>
      <w:lvlText w:val="%9."/>
      <w:lvlJc w:val="right"/>
      <w:pPr>
        <w:ind w:left="4740" w:hanging="480"/>
      </w:pPr>
    </w:lvl>
  </w:abstractNum>
  <w:abstractNum w:abstractNumId="2">
    <w:nsid w:val="57E824AC"/>
    <w:multiLevelType w:val="multilevel"/>
    <w:tmpl w:val="57E824AC"/>
    <w:lvl w:ilvl="0" w:tentative="0">
      <w:start w:val="1"/>
      <w:numFmt w:val="japaneseCounting"/>
      <w:lvlText w:val="第%1章"/>
      <w:lvlJc w:val="left"/>
      <w:pPr>
        <w:ind w:left="1356" w:hanging="936"/>
      </w:pPr>
      <w:rPr>
        <w:rFonts w:hint="default" w:eastAsiaTheme="minorEastAsia" w:cstheme="minorBidi"/>
        <w:b/>
        <w:color w:val="auto"/>
        <w:sz w:val="30"/>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1Nzk4MzE4ODNmOWRkMzE3NjAyZjM5YzhiMGM0NDUifQ=="/>
  </w:docVars>
  <w:rsids>
    <w:rsidRoot w:val="005208BE"/>
    <w:rsid w:val="00015B60"/>
    <w:rsid w:val="000975B3"/>
    <w:rsid w:val="000B75C3"/>
    <w:rsid w:val="000D6D29"/>
    <w:rsid w:val="000E263C"/>
    <w:rsid w:val="000F63E7"/>
    <w:rsid w:val="00113E87"/>
    <w:rsid w:val="00117D7F"/>
    <w:rsid w:val="00125C79"/>
    <w:rsid w:val="001574D4"/>
    <w:rsid w:val="00164793"/>
    <w:rsid w:val="001A7883"/>
    <w:rsid w:val="001B03E8"/>
    <w:rsid w:val="001F0FE2"/>
    <w:rsid w:val="002175C7"/>
    <w:rsid w:val="00237AED"/>
    <w:rsid w:val="002545DF"/>
    <w:rsid w:val="0028438B"/>
    <w:rsid w:val="002A104B"/>
    <w:rsid w:val="002C31E3"/>
    <w:rsid w:val="0030116F"/>
    <w:rsid w:val="003748D5"/>
    <w:rsid w:val="00384C2B"/>
    <w:rsid w:val="003879BD"/>
    <w:rsid w:val="003970A7"/>
    <w:rsid w:val="003C5326"/>
    <w:rsid w:val="003F527F"/>
    <w:rsid w:val="004208EA"/>
    <w:rsid w:val="00424883"/>
    <w:rsid w:val="00441758"/>
    <w:rsid w:val="00476104"/>
    <w:rsid w:val="004B0F2B"/>
    <w:rsid w:val="004F2D92"/>
    <w:rsid w:val="00512046"/>
    <w:rsid w:val="005208BE"/>
    <w:rsid w:val="00544AD9"/>
    <w:rsid w:val="00594007"/>
    <w:rsid w:val="005D17BC"/>
    <w:rsid w:val="005D76E8"/>
    <w:rsid w:val="006633C9"/>
    <w:rsid w:val="006735B4"/>
    <w:rsid w:val="006834B2"/>
    <w:rsid w:val="006A5253"/>
    <w:rsid w:val="006B04FD"/>
    <w:rsid w:val="006E3ED8"/>
    <w:rsid w:val="006F0F58"/>
    <w:rsid w:val="007346E5"/>
    <w:rsid w:val="00787B35"/>
    <w:rsid w:val="00790B39"/>
    <w:rsid w:val="007A0CA1"/>
    <w:rsid w:val="007B779C"/>
    <w:rsid w:val="007C3186"/>
    <w:rsid w:val="007F55D2"/>
    <w:rsid w:val="00804555"/>
    <w:rsid w:val="00840793"/>
    <w:rsid w:val="0084159B"/>
    <w:rsid w:val="00844531"/>
    <w:rsid w:val="00861D77"/>
    <w:rsid w:val="008C2145"/>
    <w:rsid w:val="008C7B38"/>
    <w:rsid w:val="008F32B2"/>
    <w:rsid w:val="00945A74"/>
    <w:rsid w:val="00A00BBB"/>
    <w:rsid w:val="00A04F14"/>
    <w:rsid w:val="00A41838"/>
    <w:rsid w:val="00A63AC6"/>
    <w:rsid w:val="00A71428"/>
    <w:rsid w:val="00A86392"/>
    <w:rsid w:val="00A9411E"/>
    <w:rsid w:val="00AF62D9"/>
    <w:rsid w:val="00B118BF"/>
    <w:rsid w:val="00B1678F"/>
    <w:rsid w:val="00B40582"/>
    <w:rsid w:val="00B43583"/>
    <w:rsid w:val="00B64DE2"/>
    <w:rsid w:val="00B922D3"/>
    <w:rsid w:val="00C21BCE"/>
    <w:rsid w:val="00C77E19"/>
    <w:rsid w:val="00C85E90"/>
    <w:rsid w:val="00CA7845"/>
    <w:rsid w:val="00CB6A1F"/>
    <w:rsid w:val="00CF7003"/>
    <w:rsid w:val="00D847AC"/>
    <w:rsid w:val="00DA39FB"/>
    <w:rsid w:val="00DC0209"/>
    <w:rsid w:val="00DC3FAC"/>
    <w:rsid w:val="00DC54AE"/>
    <w:rsid w:val="00DD37E6"/>
    <w:rsid w:val="00DE37EF"/>
    <w:rsid w:val="00E01B0A"/>
    <w:rsid w:val="00E66110"/>
    <w:rsid w:val="00E66B44"/>
    <w:rsid w:val="00E77567"/>
    <w:rsid w:val="00EE4964"/>
    <w:rsid w:val="00F22965"/>
    <w:rsid w:val="00F424BF"/>
    <w:rsid w:val="00F6389D"/>
    <w:rsid w:val="00FA741C"/>
    <w:rsid w:val="00FB22F0"/>
    <w:rsid w:val="0E3177FA"/>
    <w:rsid w:val="128F4AEF"/>
    <w:rsid w:val="1AF838C4"/>
    <w:rsid w:val="1BAD2BF6"/>
    <w:rsid w:val="1F472A5C"/>
    <w:rsid w:val="2AB03DA2"/>
    <w:rsid w:val="2BBB3803"/>
    <w:rsid w:val="301521D4"/>
    <w:rsid w:val="30607D99"/>
    <w:rsid w:val="38402264"/>
    <w:rsid w:val="384B1FD6"/>
    <w:rsid w:val="56CC454B"/>
    <w:rsid w:val="57886D3A"/>
    <w:rsid w:val="5B583F87"/>
    <w:rsid w:val="5B995669"/>
    <w:rsid w:val="6F737FD0"/>
    <w:rsid w:val="7BAF4CDA"/>
    <w:rsid w:val="7EC360E7"/>
    <w:rsid w:val="7EC8130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25"/>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unhideWhenUsed/>
    <w:qFormat/>
    <w:uiPriority w:val="99"/>
    <w:pPr>
      <w:jc w:val="left"/>
    </w:pPr>
  </w:style>
  <w:style w:type="paragraph" w:styleId="4">
    <w:name w:val="Body Text"/>
    <w:basedOn w:val="1"/>
    <w:next w:val="1"/>
    <w:link w:val="30"/>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5">
    <w:name w:val="Body Text Indent"/>
    <w:basedOn w:val="1"/>
    <w:next w:val="6"/>
    <w:link w:val="38"/>
    <w:semiHidden/>
    <w:unhideWhenUsed/>
    <w:qFormat/>
    <w:uiPriority w:val="99"/>
    <w:pPr>
      <w:spacing w:after="120"/>
      <w:ind w:left="420" w:leftChars="200"/>
    </w:pPr>
  </w:style>
  <w:style w:type="paragraph" w:styleId="6">
    <w:name w:val="annotation subject"/>
    <w:basedOn w:val="3"/>
    <w:next w:val="3"/>
    <w:unhideWhenUsed/>
    <w:qFormat/>
    <w:uiPriority w:val="99"/>
    <w:rPr>
      <w:b/>
      <w:bCs/>
    </w:rPr>
  </w:style>
  <w:style w:type="paragraph" w:styleId="7">
    <w:name w:val="toc 3"/>
    <w:basedOn w:val="1"/>
    <w:next w:val="1"/>
    <w:qFormat/>
    <w:uiPriority w:val="0"/>
    <w:pPr>
      <w:widowControl/>
      <w:spacing w:after="100" w:line="276" w:lineRule="auto"/>
      <w:ind w:left="850"/>
      <w:jc w:val="left"/>
    </w:pPr>
    <w:rPr>
      <w:rFonts w:ascii="Arial" w:hAnsi="Arial" w:eastAsia="宋体"/>
      <w:kern w:val="0"/>
      <w:sz w:val="22"/>
    </w:rPr>
  </w:style>
  <w:style w:type="paragraph" w:styleId="8">
    <w:name w:val="Plain Text"/>
    <w:basedOn w:val="1"/>
    <w:link w:val="32"/>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9">
    <w:name w:val="Body Text Indent 2"/>
    <w:basedOn w:val="1"/>
    <w:link w:val="36"/>
    <w:semiHidden/>
    <w:unhideWhenUsed/>
    <w:qFormat/>
    <w:uiPriority w:val="99"/>
    <w:pPr>
      <w:spacing w:after="120" w:line="480" w:lineRule="auto"/>
      <w:ind w:left="420" w:leftChars="200"/>
    </w:pPr>
  </w:style>
  <w:style w:type="paragraph" w:styleId="10">
    <w:name w:val="footer"/>
    <w:basedOn w:val="1"/>
    <w:link w:val="24"/>
    <w:semiHidden/>
    <w:unhideWhenUsed/>
    <w:qFormat/>
    <w:uiPriority w:val="99"/>
    <w:pPr>
      <w:tabs>
        <w:tab w:val="center" w:pos="4153"/>
        <w:tab w:val="right" w:pos="8306"/>
      </w:tabs>
      <w:snapToGrid w:val="0"/>
      <w:jc w:val="left"/>
    </w:pPr>
    <w:rPr>
      <w:sz w:val="18"/>
      <w:szCs w:val="18"/>
    </w:rPr>
  </w:style>
  <w:style w:type="paragraph" w:styleId="11">
    <w:name w:val="header"/>
    <w:basedOn w:val="1"/>
    <w:link w:val="2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pPr>
      <w:spacing w:before="120" w:after="120"/>
      <w:jc w:val="left"/>
    </w:pPr>
    <w:rPr>
      <w:rFonts w:asciiTheme="minorHAnsi" w:hAnsiTheme="minorHAnsi"/>
      <w:b/>
      <w:bCs/>
      <w:caps/>
      <w:sz w:val="20"/>
    </w:rPr>
  </w:style>
  <w:style w:type="paragraph" w:styleId="13">
    <w:name w:val="toc 2"/>
    <w:basedOn w:val="1"/>
    <w:next w:val="1"/>
    <w:unhideWhenUsed/>
    <w:qFormat/>
    <w:uiPriority w:val="39"/>
    <w:pPr>
      <w:ind w:left="210"/>
      <w:jc w:val="left"/>
    </w:pPr>
    <w:rPr>
      <w:rFonts w:asciiTheme="minorHAnsi" w:hAnsiTheme="minorHAnsi"/>
      <w:smallCaps/>
      <w:sz w:val="20"/>
    </w:rPr>
  </w:style>
  <w:style w:type="paragraph" w:styleId="1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15">
    <w:name w:val="Body Text First Indent"/>
    <w:basedOn w:val="1"/>
    <w:link w:val="35"/>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8">
    <w:name w:val="Strong"/>
    <w:basedOn w:val="17"/>
    <w:qFormat/>
    <w:uiPriority w:val="22"/>
    <w:rPr>
      <w:b/>
      <w:bCs/>
    </w:rPr>
  </w:style>
  <w:style w:type="character" w:styleId="19">
    <w:name w:val="page number"/>
    <w:basedOn w:val="17"/>
    <w:unhideWhenUsed/>
    <w:qFormat/>
    <w:uiPriority w:val="99"/>
  </w:style>
  <w:style w:type="character" w:styleId="20">
    <w:name w:val="FollowedHyperlink"/>
    <w:basedOn w:val="17"/>
    <w:semiHidden/>
    <w:unhideWhenUsed/>
    <w:qFormat/>
    <w:uiPriority w:val="99"/>
    <w:rPr>
      <w:color w:val="800080"/>
      <w:u w:val="single"/>
    </w:rPr>
  </w:style>
  <w:style w:type="character" w:styleId="21">
    <w:name w:val="Hyperlink"/>
    <w:basedOn w:val="17"/>
    <w:semiHidden/>
    <w:unhideWhenUsed/>
    <w:qFormat/>
    <w:uiPriority w:val="99"/>
    <w:rPr>
      <w:color w:val="0000FF"/>
      <w:u w:val="single"/>
    </w:rPr>
  </w:style>
  <w:style w:type="character" w:styleId="22">
    <w:name w:val="annotation reference"/>
    <w:semiHidden/>
    <w:unhideWhenUsed/>
    <w:qFormat/>
    <w:uiPriority w:val="0"/>
    <w:rPr>
      <w:sz w:val="21"/>
      <w:szCs w:val="21"/>
    </w:rPr>
  </w:style>
  <w:style w:type="character" w:customStyle="1" w:styleId="23">
    <w:name w:val="页眉 Char"/>
    <w:basedOn w:val="17"/>
    <w:link w:val="11"/>
    <w:semiHidden/>
    <w:qFormat/>
    <w:uiPriority w:val="99"/>
    <w:rPr>
      <w:sz w:val="18"/>
      <w:szCs w:val="18"/>
    </w:rPr>
  </w:style>
  <w:style w:type="character" w:customStyle="1" w:styleId="24">
    <w:name w:val="页脚 Char"/>
    <w:basedOn w:val="17"/>
    <w:link w:val="10"/>
    <w:semiHidden/>
    <w:qFormat/>
    <w:uiPriority w:val="99"/>
    <w:rPr>
      <w:sz w:val="18"/>
      <w:szCs w:val="18"/>
    </w:rPr>
  </w:style>
  <w:style w:type="character" w:customStyle="1" w:styleId="25">
    <w:name w:val="标题 3 Char"/>
    <w:basedOn w:val="17"/>
    <w:link w:val="2"/>
    <w:qFormat/>
    <w:uiPriority w:val="9"/>
    <w:rPr>
      <w:rFonts w:ascii="宋体" w:hAnsi="宋体" w:eastAsia="宋体" w:cs="宋体"/>
      <w:b/>
      <w:bCs/>
      <w:kern w:val="0"/>
      <w:sz w:val="27"/>
      <w:szCs w:val="27"/>
    </w:rPr>
  </w:style>
  <w:style w:type="character" w:customStyle="1" w:styleId="26">
    <w:name w:val="article_time"/>
    <w:basedOn w:val="17"/>
    <w:qFormat/>
    <w:uiPriority w:val="0"/>
  </w:style>
  <w:style w:type="paragraph" w:customStyle="1" w:styleId="27">
    <w:name w:val="p"/>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28">
    <w:name w:val="15"/>
    <w:basedOn w:val="17"/>
    <w:qFormat/>
    <w:uiPriority w:val="0"/>
  </w:style>
  <w:style w:type="character" w:customStyle="1" w:styleId="29">
    <w:name w:val="16"/>
    <w:basedOn w:val="17"/>
    <w:qFormat/>
    <w:uiPriority w:val="0"/>
  </w:style>
  <w:style w:type="character" w:customStyle="1" w:styleId="30">
    <w:name w:val="正文文本 Char"/>
    <w:basedOn w:val="17"/>
    <w:link w:val="4"/>
    <w:qFormat/>
    <w:uiPriority w:val="99"/>
    <w:rPr>
      <w:rFonts w:ascii="宋体" w:hAnsi="宋体" w:eastAsia="宋体" w:cs="宋体"/>
      <w:kern w:val="0"/>
      <w:sz w:val="24"/>
      <w:szCs w:val="24"/>
    </w:rPr>
  </w:style>
  <w:style w:type="paragraph" w:customStyle="1" w:styleId="31">
    <w:name w:val="18"/>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32">
    <w:name w:val="纯文本 Char"/>
    <w:basedOn w:val="17"/>
    <w:link w:val="8"/>
    <w:qFormat/>
    <w:uiPriority w:val="0"/>
    <w:rPr>
      <w:rFonts w:ascii="宋体" w:hAnsi="宋体" w:eastAsia="宋体" w:cs="宋体"/>
      <w:kern w:val="0"/>
      <w:sz w:val="24"/>
      <w:szCs w:val="24"/>
    </w:rPr>
  </w:style>
  <w:style w:type="paragraph" w:customStyle="1" w:styleId="33">
    <w:name w:val="24"/>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4">
    <w:name w:val="22"/>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35">
    <w:name w:val="正文首行缩进 Char"/>
    <w:basedOn w:val="30"/>
    <w:link w:val="15"/>
    <w:semiHidden/>
    <w:qFormat/>
    <w:uiPriority w:val="99"/>
  </w:style>
  <w:style w:type="character" w:customStyle="1" w:styleId="36">
    <w:name w:val="正文文本缩进 2 Char"/>
    <w:basedOn w:val="17"/>
    <w:link w:val="9"/>
    <w:semiHidden/>
    <w:qFormat/>
    <w:uiPriority w:val="99"/>
  </w:style>
  <w:style w:type="paragraph" w:styleId="37">
    <w:name w:val="List Paragraph"/>
    <w:basedOn w:val="1"/>
    <w:qFormat/>
    <w:uiPriority w:val="34"/>
    <w:pPr>
      <w:ind w:firstLine="420" w:firstLineChars="200"/>
    </w:pPr>
  </w:style>
  <w:style w:type="character" w:customStyle="1" w:styleId="38">
    <w:name w:val="正文文本缩进 Char"/>
    <w:basedOn w:val="17"/>
    <w:link w:val="5"/>
    <w:semiHidden/>
    <w:qFormat/>
    <w:uiPriority w:val="99"/>
  </w:style>
  <w:style w:type="paragraph" w:customStyle="1" w:styleId="39">
    <w:name w:val="xl30"/>
    <w:basedOn w:val="1"/>
    <w:qFormat/>
    <w:uiPriority w:val="0"/>
    <w:pPr>
      <w:widowControl/>
      <w:spacing w:before="100" w:beforeAutospacing="1" w:after="100" w:afterAutospacing="1"/>
      <w:jc w:val="center"/>
      <w:textAlignment w:val="center"/>
    </w:pPr>
    <w:rPr>
      <w:rFonts w:ascii="楷体_GB2312" w:hAnsi="宋体" w:eastAsia="楷体_GB2312" w:cs="Times New Roman"/>
      <w:b/>
      <w:kern w:val="0"/>
      <w:sz w:val="32"/>
      <w:szCs w:val="24"/>
    </w:rPr>
  </w:style>
  <w:style w:type="paragraph" w:customStyle="1" w:styleId="40">
    <w:name w:val="Default"/>
    <w:qFormat/>
    <w:uiPriority w:val="0"/>
    <w:pPr>
      <w:widowControl w:val="0"/>
      <w:autoSpaceDE w:val="0"/>
      <w:autoSpaceDN w:val="0"/>
      <w:adjustRightInd w:val="0"/>
    </w:pPr>
    <w:rPr>
      <w:rFonts w:ascii="宋体" w:hAnsi="Calibri"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MS</Company>
  <Pages>30</Pages>
  <Words>3471</Words>
  <Characters>3853</Characters>
  <Lines>68</Lines>
  <Paragraphs>19</Paragraphs>
  <TotalTime>0</TotalTime>
  <ScaleCrop>false</ScaleCrop>
  <LinksUpToDate>false</LinksUpToDate>
  <CharactersWithSpaces>3884</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2024-10-09T02:50:00Z</dcterms:created>
  <dc:creator>XZOS</dc:creator>
  <cp:lastModifiedBy>Administrator</cp:lastModifiedBy>
  <dcterms:modified xsi:type="dcterms:W3CDTF">2025-03-17T07:32:07Z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D60DEC980A8C4D12893B73E7F23506CC_13</vt:lpwstr>
  </property>
  <property fmtid="{D5CDD505-2E9C-101B-9397-08002B2CF9AE}" pid="4" name="KSOTemplateDocerSaveRecord">
    <vt:lpwstr>eyJoZGlkIjoiMTc0NjhkYWQ0OThmYWQxNmI4ZDUyMjhmZjFhNmU2MjIiLCJ1c2VySWQiOiI3MzExNDI2NzIifQ==</vt:lpwstr>
  </property>
</Properties>
</file>