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0993C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LED屏参数与商务要求</w:t>
      </w:r>
    </w:p>
    <w:p w14:paraId="1A1330AB">
      <w:pPr>
        <w:pStyle w:val="4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一、具体参数</w:t>
      </w:r>
    </w:p>
    <w:tbl>
      <w:tblPr>
        <w:tblStyle w:val="2"/>
        <w:tblW w:w="10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8479"/>
      </w:tblGrid>
      <w:tr w14:paraId="7C55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202" w:type="dxa"/>
            <w:vAlign w:val="center"/>
          </w:tcPr>
          <w:p w14:paraId="5FEAB52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LED屏参数</w:t>
            </w:r>
          </w:p>
        </w:tc>
        <w:tc>
          <w:tcPr>
            <w:tcW w:w="5969" w:type="dxa"/>
            <w:vAlign w:val="center"/>
          </w:tcPr>
          <w:p w14:paraId="2DF75EDD">
            <w:pPr>
              <w:numPr>
                <w:ilvl w:val="0"/>
                <w:numId w:val="1"/>
              </w:numPr>
              <w:spacing w:line="30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显示屏：</w:t>
            </w:r>
          </w:p>
          <w:p w14:paraId="26C657AB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★1.屏大小约为：2.88*1.76=5.07平方米</w:t>
            </w:r>
          </w:p>
          <w:p w14:paraId="20F5B12B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★2.点间距≤1.25mm（P1.25），采用SMD黑灯，像素构成1R1G1B，像素密度≥640000dot/㎡；（提供带CMA或CNAS标识的检测报告）</w:t>
            </w:r>
          </w:p>
          <w:p w14:paraId="39413E00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3.显示单元箱体重量小于7.8KG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，支持以落地，壁挂，背条安装，支持大小箱体拼装，满足不同尺寸需求；</w:t>
            </w:r>
          </w:p>
          <w:p w14:paraId="0C4203C7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4.电源采用110-240V宽电压，适应电网电压更广，电源功率因数≥0.95，转换效率不低于86%；</w:t>
            </w:r>
          </w:p>
          <w:p w14:paraId="6863CB07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★5.亮度≥500nit（0-100%无级可调），最高对比度≥10000:1；色温：标准8300K，范围不小于1000-13000K连续可调，调节步长100K，刷新频率≥3840Hz。</w:t>
            </w:r>
          </w:p>
          <w:p w14:paraId="2CC76249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6.产品支持智能节电功能，平均功耗≤130W/㎡（提供带CMA或CNAS标识的检测报告）</w:t>
            </w:r>
          </w:p>
          <w:p w14:paraId="7CAA07AB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7.显示单元平整度≤0.05mm，显示单元间隙≤0.05mm；模组平整度≤0.05mm，模组间隙≤0.05mm，支持软硬件调节亮暗线功能，暗线修复、隐亮消除，具有单点、模块级亮度、色度校正功能；</w:t>
            </w:r>
          </w:p>
          <w:p w14:paraId="05FF87D3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8.蓝光危害辐亮度≤5.7W/㎡/sr，对人眼无伤害。</w:t>
            </w:r>
          </w:p>
          <w:p w14:paraId="5BCAA009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9.电源输入端对外壳在AC1.5KV的条件下，测试1分钟后，无击穿、飞弧或超漏现象；工作电压100-240V ,在输入1.1倍额定电压下，泄露电流≤1mA；</w:t>
            </w:r>
          </w:p>
          <w:p w14:paraId="4696B0B6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10.产品通过拉力测试，测试值不低于7500N/㎡，压力测试，测试值不低于5500N/㎡；</w:t>
            </w:r>
          </w:p>
          <w:p w14:paraId="5EE0AE49">
            <w:pPr>
              <w:spacing w:line="300" w:lineRule="exact"/>
              <w:jc w:val="left"/>
              <w:rPr>
                <w:rFonts w:hint="eastAsia" w:ascii="仿宋" w:hAnsi="仿宋" w:eastAsia="仿宋" w:cs="仿宋"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11.所投产品须符合国家3C认证要求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4EAC6303">
            <w:pPr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3CCAAAF1">
            <w:pPr>
              <w:spacing w:line="300" w:lineRule="exact"/>
              <w:jc w:val="left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推荐品牌：</w:t>
            </w:r>
            <w:r>
              <w:rPr>
                <w:rFonts w:hint="default" w:ascii="仿宋_GB2312" w:hAnsi="Calibri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艾比森</w:t>
            </w:r>
            <w:r>
              <w:rPr>
                <w:rFonts w:hint="eastAsia" w:ascii="仿宋_GB2312" w:hAnsi="Calibri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仿宋_GB2312" w:hAnsi="Calibri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三思</w:t>
            </w:r>
            <w:r>
              <w:rPr>
                <w:rFonts w:hint="eastAsia" w:ascii="仿宋_GB2312" w:hAnsi="Calibri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或</w:t>
            </w:r>
            <w:r>
              <w:rPr>
                <w:rFonts w:hint="eastAsia" w:ascii="仿宋_GB2312" w:hAnsi="Calibri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其他同档次品牌</w:t>
            </w:r>
          </w:p>
          <w:p w14:paraId="52726E83">
            <w:pPr>
              <w:spacing w:line="300" w:lineRule="exact"/>
              <w:jc w:val="left"/>
              <w:rPr>
                <w:rFonts w:hint="default" w:ascii="仿宋" w:hAnsi="仿宋" w:eastAsia="仿宋" w:cs="仿宋"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0C3E33E3">
            <w:pPr>
              <w:spacing w:line="300" w:lineRule="exact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二、视频处理器：</w:t>
            </w:r>
          </w:p>
          <w:p w14:paraId="52E559F1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★1.支持多路输入接口：包括但不限于1路DVI，1路HDMI，1路VGA，1路USB，1路CVBS，以满足各类前端信号接入需求；（提供带CMA或CNAS标识的检测报告）</w:t>
            </w:r>
          </w:p>
          <w:p w14:paraId="2673AF91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2.发送卡和视频处理器二合一，减少系统连线，有效提升系统的稳定性及兼容性；</w:t>
            </w:r>
          </w:p>
          <w:p w14:paraId="3167CFCB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3.支持插入U盘播放，最大支持1920x1080@60Hz视频输入；</w:t>
            </w:r>
          </w:p>
          <w:p w14:paraId="77859CD9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4.设备前面板配备直观的 LCD 显示界面，可实时显示型号、ip地址、窗口及信号源的分辨率、网口的状态、屏幕大小及帧频、USB 连接或网线连接状态和屏体亮度等信息；</w:t>
            </w:r>
          </w:p>
          <w:p w14:paraId="47CA3EA6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5.支持配合多功能卡，实现对屏体电源的手动控制，自动控制，以及软件控制，灵活简单。</w:t>
            </w:r>
          </w:p>
          <w:p w14:paraId="5456B116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6.支持 DVI、HDMI 的输入分辨率自定义调节。</w:t>
            </w:r>
          </w:p>
          <w:p w14:paraId="7E21B2D4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7.支持逐点亮度校正，可以对每个灯点的亮度和色度进行采集校正，有效消除色差，使整屏的亮度和色度达到高度均匀一致，提高显示屏的画质。</w:t>
            </w:r>
          </w:p>
          <w:p w14:paraId="25373BBA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8.支持通过设备旋转按钮实现快捷配屏和高级配屏功能点亮屏体；</w:t>
            </w:r>
          </w:p>
          <w:p w14:paraId="4B229B03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9.支持不少于 4个千兆网口输出，最大带载可达260万像素。</w:t>
            </w:r>
          </w:p>
          <w:p w14:paraId="311EF3C6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10.支持创建不少于6个用户场景作为模板保存，方便快速调用。</w:t>
            </w:r>
          </w:p>
          <w:p w14:paraId="29F72FED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11、支持通过中控设备进行统一控制。</w:t>
            </w:r>
          </w:p>
          <w:p w14:paraId="61A50AC6">
            <w:pPr>
              <w:spacing w:line="30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三、框架结构：</w:t>
            </w:r>
          </w:p>
          <w:p w14:paraId="57527E9E"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根据LED显示屏定制加厚钢结构安装框架、铝合金边框、全套阻燃线材。</w:t>
            </w:r>
          </w:p>
          <w:p w14:paraId="6755766B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网线：</w:t>
            </w:r>
          </w:p>
          <w:p w14:paraId="09AD1CF7">
            <w:pPr>
              <w:numPr>
                <w:ilvl w:val="0"/>
                <w:numId w:val="3"/>
              </w:numPr>
              <w:spacing w:before="120" w:after="120" w:line="288" w:lineRule="auto"/>
              <w:ind w:left="0"/>
              <w:jc w:val="left"/>
              <w:rPr>
                <w:sz w:val="18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六类网线，根据会议室定制</w:t>
            </w: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，</w:t>
            </w:r>
            <w:r>
              <w:rPr>
                <w:rFonts w:ascii="Arial" w:hAnsi="Arial" w:eastAsia="等线" w:cs="Arial"/>
                <w:sz w:val="20"/>
                <w:szCs w:val="21"/>
              </w:rPr>
              <w:t>走线规整隐蔽</w:t>
            </w:r>
          </w:p>
          <w:p w14:paraId="7D7A67E9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1AEEA5D0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音频线：</w:t>
            </w:r>
          </w:p>
          <w:p w14:paraId="4D8A861F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应包含音频线，可与会议室多媒体、功放连接使用。</w:t>
            </w:r>
          </w:p>
          <w:p w14:paraId="76867510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供电电缆：</w:t>
            </w:r>
          </w:p>
          <w:p w14:paraId="762CE635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应包含供电电缆，根据会议室布线。</w:t>
            </w:r>
          </w:p>
          <w:p w14:paraId="5702934C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配电箱：</w:t>
            </w:r>
          </w:p>
          <w:p w14:paraId="14D7D129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定制配电箱，荷载功率≥10KW，可实现过流、短路保护，可实现手动上断电、PLC上电、关电功能。</w:t>
            </w:r>
          </w:p>
          <w:p w14:paraId="7CE291EB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辅材、运输及安装施工</w:t>
            </w:r>
          </w:p>
          <w:p w14:paraId="2E35EC2D">
            <w:pPr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应包含辅材、运输及安装施工所需费用。</w:t>
            </w:r>
          </w:p>
        </w:tc>
      </w:tr>
    </w:tbl>
    <w:p w14:paraId="3472C771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二、商务要求：</w:t>
      </w:r>
    </w:p>
    <w:p w14:paraId="1CB61335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1、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供应商必须填写货物配置清单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及整体设计方案效果图（包含线路走势）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 xml:space="preserve">并盖章上传；本项目所有带★核心技术参数对应的检测报告复印件，须随货物配置清单一并作为响应附件上传；未上传货物配置清单或对应检测报告的，其响应文件按无效响应处理。 </w:t>
      </w:r>
    </w:p>
    <w:p w14:paraId="379C9E99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2、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售后服务及质保。设备验收合格后免费提供3年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整机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质保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（含</w:t>
      </w:r>
      <w:r>
        <w:rPr>
          <w:rFonts w:ascii="Arial" w:hAnsi="Arial" w:eastAsia="等线" w:cs="Arial"/>
          <w:sz w:val="22"/>
        </w:rPr>
        <w:t>灯珠、电源、控制系统全保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）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。质保期内，供应商需提供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30分钟内电话响应，2小时内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免费上门服务。在质保期内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提供免费软件升级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，设备出现的质量问题，乙方应在24小时内免费给予更换零部件。在产品维修过程，24小时内无法修复故障的，为不影响用户使用，供应商须向用户提供备件直至产品修复完成。</w:t>
      </w:r>
    </w:p>
    <w:p w14:paraId="6F50FFFE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3、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项目承包方式：本项目为交钥匙工程。供应商须负责本项目全部设备供货、运输、现场安装、系统集成、调试、试运行、验收、辅材配套、线材布设及后期质保等全部工作，项目涉及的人工、材料、运输、机械、管理、税费等所有费用均包含在报价内，采购人不再另行支付任何费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，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现场规范施工，无尘安装、保护现场环境，完工清理干净。</w:t>
      </w:r>
    </w:p>
    <w:p w14:paraId="662F3923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4、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合同签订和供货验收。中标后7日内中标单位到使用单位签订合同。中标单位应提供运输服务并承担运费，在采购合同签订后30日内派人到采购方指定地点现场交货、安装、调试并完成验收，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验收标准：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整屏无色差、无死灯、无亮点暗点、无闪烁、拼接平整、画面高清统</w:t>
      </w:r>
    </w:p>
    <w:p w14:paraId="653EB7FF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5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 xml:space="preserve">、付款方式。完成验收后，由供货商提供合同金额100%发票，采购方进行一次性付款。 </w:t>
      </w:r>
    </w:p>
    <w:p w14:paraId="3F223EC8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0"/>
          <w:szCs w:val="20"/>
        </w:rPr>
        <w:t>、其他要求。采购方可委托省、市级质量监督检测机构进行质量检测，如检测结果不符合要求或国家标准，弄虚作假，以次充好与承诺不符，将给予退货并终止合同，并处合同总价20%违约金。使用后如因质量问题造成损失，中标供应商需要承担买方损失的赔偿等责任。</w:t>
      </w:r>
    </w:p>
    <w:p w14:paraId="429DBE11">
      <w:pPr>
        <w:spacing w:line="300" w:lineRule="exact"/>
        <w:jc w:val="left"/>
        <w:rPr>
          <w:rFonts w:hint="eastAsia" w:ascii="方正仿宋_GB2312" w:hAnsi="方正仿宋_GB2312" w:eastAsia="方正仿宋_GB2312" w:cs="方正仿宋_GB2312"/>
          <w:b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B2AEBD"/>
    <w:multiLevelType w:val="singleLevel"/>
    <w:tmpl w:val="F6B2AEB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470EC97"/>
    <w:multiLevelType w:val="singleLevel"/>
    <w:tmpl w:val="2470EC97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">
    <w:nsid w:val="5A4CF715"/>
    <w:multiLevelType w:val="singleLevel"/>
    <w:tmpl w:val="5A4CF71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8541E"/>
    <w:rsid w:val="214B793F"/>
    <w:rsid w:val="28671684"/>
    <w:rsid w:val="31B33096"/>
    <w:rsid w:val="433845CD"/>
    <w:rsid w:val="4A45195C"/>
    <w:rsid w:val="4A8E2A0D"/>
    <w:rsid w:val="51C97FFB"/>
    <w:rsid w:val="5F1D371E"/>
    <w:rsid w:val="638F27E1"/>
    <w:rsid w:val="65E63B9C"/>
    <w:rsid w:val="65F862ED"/>
    <w:rsid w:val="7B9D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qFormat/>
    <w:uiPriority w:val="99"/>
    <w:pPr>
      <w:adjustRightInd w:val="0"/>
      <w:snapToGrid w:val="0"/>
    </w:pPr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1797</Words>
  <Characters>2036</Characters>
  <Lines>0</Lines>
  <Paragraphs>0</Paragraphs>
  <TotalTime>12</TotalTime>
  <ScaleCrop>false</ScaleCrop>
  <LinksUpToDate>false</LinksUpToDate>
  <CharactersWithSpaces>2045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2026-07-02T00:59:00Z</dcterms:created>
  <dc:creator>admin</dc:creator>
  <cp:lastModifiedBy>admin</cp:lastModifiedBy>
  <cp:lastPrinted>2026-07-07T01:37:00Z</cp:lastPrinted>
  <dcterms:modified xsi:type="dcterms:W3CDTF">2026-07-08T02:23:03Z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eyJoZGlkIjoiMjU1Nzk4MzE4ODNmOWRkMzE3NjAyZjM5YzhiMGM0NDUiLCJ1c2VySWQiOiI0OTU3MzU5MTIifQ==</vt:lpwstr>
  </property>
  <property fmtid="{D5CDD505-2E9C-101B-9397-08002B2CF9AE}" pid="4" name="ICV">
    <vt:lpwstr>182B3DC3D3EF47A9B0A52CC42076D3ED_12</vt:lpwstr>
  </property>
</Properties>
</file>